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21FB" w:rsidRDefault="00BB21FB">
      <w:pPr>
        <w:spacing w:line="276" w:lineRule="auto"/>
      </w:pPr>
      <w:bookmarkStart w:id="0" w:name="_GoBack"/>
      <w:bookmarkEnd w:id="0"/>
    </w:p>
    <w:tbl>
      <w:tblPr>
        <w:tblStyle w:val="a"/>
        <w:tblW w:w="1017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884"/>
        <w:gridCol w:w="133"/>
      </w:tblGrid>
      <w:tr w:rsidR="00BB21FB">
        <w:tc>
          <w:tcPr>
            <w:tcW w:w="898" w:type="dxa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BB21FB" w:rsidRDefault="00274D55">
            <w:r>
              <w:rPr>
                <w:sz w:val="14"/>
                <w:szCs w:val="14"/>
              </w:rPr>
              <w:t>REFERENCE:</w:t>
            </w:r>
          </w:p>
        </w:tc>
        <w:tc>
          <w:tcPr>
            <w:tcW w:w="119" w:type="dxa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BB21FB" w:rsidRDefault="00BB21FB"/>
        </w:tc>
      </w:tr>
    </w:tbl>
    <w:p w:rsidR="00BB21FB" w:rsidRDefault="00274D55">
      <w:pPr>
        <w:tabs>
          <w:tab w:val="left" w:pos="993"/>
        </w:tabs>
        <w:jc w:val="center"/>
      </w:pPr>
      <w:r>
        <w:rPr>
          <w:b/>
          <w:sz w:val="28"/>
          <w:szCs w:val="28"/>
        </w:rPr>
        <w:t>Call for input</w:t>
      </w:r>
    </w:p>
    <w:p w:rsidR="00BB21FB" w:rsidRDefault="00BB21FB">
      <w:pPr>
        <w:tabs>
          <w:tab w:val="left" w:pos="993"/>
        </w:tabs>
        <w:jc w:val="center"/>
      </w:pPr>
    </w:p>
    <w:p w:rsidR="00BB21FB" w:rsidRDefault="00274D55">
      <w:pPr>
        <w:tabs>
          <w:tab w:val="left" w:pos="993"/>
        </w:tabs>
        <w:jc w:val="center"/>
      </w:pPr>
      <w:r>
        <w:rPr>
          <w:b/>
          <w:sz w:val="28"/>
          <w:szCs w:val="28"/>
        </w:rPr>
        <w:t>Report - Conscientious objection to military service</w:t>
      </w:r>
    </w:p>
    <w:p w:rsidR="00BB21FB" w:rsidRDefault="00BB21FB">
      <w:pPr>
        <w:tabs>
          <w:tab w:val="left" w:pos="993"/>
        </w:tabs>
        <w:jc w:val="center"/>
      </w:pPr>
    </w:p>
    <w:p w:rsidR="00BB21FB" w:rsidRDefault="00274D55">
      <w:pPr>
        <w:tabs>
          <w:tab w:val="left" w:pos="993"/>
        </w:tabs>
        <w:jc w:val="center"/>
      </w:pPr>
      <w:r>
        <w:rPr>
          <w:b/>
          <w:sz w:val="28"/>
          <w:szCs w:val="28"/>
        </w:rPr>
        <w:t>Deadline 13 February 2017</w:t>
      </w:r>
    </w:p>
    <w:p w:rsidR="00BB21FB" w:rsidRDefault="00BB21FB">
      <w:pPr>
        <w:tabs>
          <w:tab w:val="left" w:pos="993"/>
        </w:tabs>
      </w:pPr>
    </w:p>
    <w:p w:rsidR="00BB21FB" w:rsidRDefault="00274D55">
      <w:pPr>
        <w:tabs>
          <w:tab w:val="left" w:pos="993"/>
        </w:tabs>
      </w:pPr>
      <w:r>
        <w:rPr>
          <w:sz w:val="24"/>
          <w:szCs w:val="24"/>
        </w:rPr>
        <w:t>Civil society organizations are invited to provide any relevant information to be included in the report on conscientious objection to military service, in compliance with Human Rights Council resolution 20/2 (see also background, below).</w:t>
      </w:r>
    </w:p>
    <w:p w:rsidR="00BB21FB" w:rsidRDefault="00BB21FB">
      <w:pPr>
        <w:tabs>
          <w:tab w:val="left" w:pos="993"/>
        </w:tabs>
      </w:pPr>
    </w:p>
    <w:p w:rsidR="00BB21FB" w:rsidRDefault="00274D55">
      <w:pPr>
        <w:tabs>
          <w:tab w:val="left" w:pos="993"/>
        </w:tabs>
      </w:pPr>
      <w:r>
        <w:rPr>
          <w:sz w:val="24"/>
          <w:szCs w:val="24"/>
        </w:rPr>
        <w:t>Get the resoluti</w:t>
      </w:r>
      <w:r>
        <w:rPr>
          <w:sz w:val="24"/>
          <w:szCs w:val="24"/>
        </w:rPr>
        <w:t xml:space="preserve">on: </w:t>
      </w:r>
      <w:hyperlink r:id="rId6">
        <w:r>
          <w:rPr>
            <w:color w:val="0000FF"/>
            <w:sz w:val="24"/>
            <w:szCs w:val="24"/>
            <w:u w:val="single"/>
          </w:rPr>
          <w:t>http://ap.ohchr.org/documents/dpage_e.aspx?si=A/HRC/RES/20/2</w:t>
        </w:r>
      </w:hyperlink>
      <w:hyperlink r:id="rId7"/>
    </w:p>
    <w:p w:rsidR="00BB21FB" w:rsidRDefault="00274D55">
      <w:pPr>
        <w:tabs>
          <w:tab w:val="left" w:pos="993"/>
        </w:tabs>
      </w:pPr>
      <w:hyperlink r:id="rId8"/>
    </w:p>
    <w:p w:rsidR="00BB21FB" w:rsidRDefault="00274D55">
      <w:pPr>
        <w:tabs>
          <w:tab w:val="left" w:pos="993"/>
        </w:tabs>
      </w:pPr>
      <w:r>
        <w:rPr>
          <w:sz w:val="24"/>
          <w:szCs w:val="24"/>
        </w:rPr>
        <w:t xml:space="preserve">The Office of the High Commissioner for Human Rights would be grateful if input could be sent by </w:t>
      </w:r>
      <w:r>
        <w:rPr>
          <w:b/>
          <w:sz w:val="24"/>
          <w:szCs w:val="24"/>
          <w:u w:val="single"/>
        </w:rPr>
        <w:t>13 February 2017</w:t>
      </w:r>
      <w:r>
        <w:rPr>
          <w:sz w:val="24"/>
          <w:szCs w:val="24"/>
        </w:rPr>
        <w:t xml:space="preserve"> with subject “Report – Conscientious objection to military service” to e-mail: </w:t>
      </w:r>
      <w:hyperlink r:id="rId9">
        <w:r>
          <w:rPr>
            <w:color w:val="0000FF"/>
            <w:sz w:val="24"/>
            <w:szCs w:val="24"/>
            <w:u w:val="single"/>
          </w:rPr>
          <w:t>registry@ohchr.org</w:t>
        </w:r>
      </w:hyperlink>
      <w:r>
        <w:rPr>
          <w:sz w:val="24"/>
          <w:szCs w:val="24"/>
        </w:rPr>
        <w:t xml:space="preserve">  </w:t>
      </w:r>
    </w:p>
    <w:p w:rsidR="00BB21FB" w:rsidRDefault="00BB21FB">
      <w:pPr>
        <w:tabs>
          <w:tab w:val="left" w:pos="993"/>
        </w:tabs>
      </w:pPr>
    </w:p>
    <w:p w:rsidR="00BB21FB" w:rsidRDefault="00274D55">
      <w:pPr>
        <w:tabs>
          <w:tab w:val="left" w:pos="993"/>
        </w:tabs>
      </w:pPr>
      <w:r>
        <w:rPr>
          <w:sz w:val="24"/>
          <w:szCs w:val="24"/>
        </w:rPr>
        <w:t xml:space="preserve">Inputs received from stakeholders will be made available for consultation on the Office’s website at </w:t>
      </w:r>
      <w:hyperlink r:id="rId10">
        <w:r>
          <w:rPr>
            <w:color w:val="0000FF"/>
            <w:sz w:val="24"/>
            <w:szCs w:val="24"/>
            <w:u w:val="single"/>
          </w:rPr>
          <w:t>www.ohchr.org</w:t>
        </w:r>
      </w:hyperlink>
      <w:r>
        <w:rPr>
          <w:sz w:val="24"/>
          <w:szCs w:val="24"/>
        </w:rPr>
        <w:t>.</w:t>
      </w:r>
    </w:p>
    <w:p w:rsidR="00BB21FB" w:rsidRDefault="00BB21FB">
      <w:pPr>
        <w:tabs>
          <w:tab w:val="left" w:pos="993"/>
        </w:tabs>
      </w:pPr>
    </w:p>
    <w:p w:rsidR="00BB21FB" w:rsidRDefault="00274D55">
      <w:pPr>
        <w:tabs>
          <w:tab w:val="left" w:pos="993"/>
        </w:tabs>
      </w:pPr>
      <w:r>
        <w:rPr>
          <w:sz w:val="24"/>
          <w:szCs w:val="24"/>
        </w:rPr>
        <w:t>Background</w:t>
      </w:r>
    </w:p>
    <w:p w:rsidR="00BB21FB" w:rsidRDefault="00BB21FB">
      <w:pPr>
        <w:tabs>
          <w:tab w:val="left" w:pos="993"/>
        </w:tabs>
      </w:pPr>
    </w:p>
    <w:p w:rsidR="00BB21FB" w:rsidRDefault="00274D55">
      <w:pPr>
        <w:tabs>
          <w:tab w:val="left" w:pos="993"/>
        </w:tabs>
      </w:pPr>
      <w:r>
        <w:rPr>
          <w:sz w:val="24"/>
          <w:szCs w:val="24"/>
        </w:rPr>
        <w:t>In operative paragraph 1 of resolution 20/2, the Human Rights Council requested the Office of the High Commissioner for Human Rights “to prepare, in consultation with all States, relevant United Nations agencies, programmes and funds, intergovernmental and</w:t>
      </w:r>
      <w:r>
        <w:rPr>
          <w:sz w:val="24"/>
          <w:szCs w:val="24"/>
        </w:rPr>
        <w:t xml:space="preserve"> non-governmental organizations and national human rights institutions, a quadrennial analytical report on conscientious objection to military service, </w:t>
      </w:r>
      <w:proofErr w:type="gramStart"/>
      <w:r>
        <w:rPr>
          <w:sz w:val="24"/>
          <w:szCs w:val="24"/>
        </w:rPr>
        <w:t>in particular on</w:t>
      </w:r>
      <w:proofErr w:type="gramEnd"/>
      <w:r>
        <w:rPr>
          <w:sz w:val="24"/>
          <w:szCs w:val="24"/>
        </w:rPr>
        <w:t xml:space="preserve"> new developments, best practices and remaining challenges”. The next report will be sub</w:t>
      </w:r>
      <w:r>
        <w:rPr>
          <w:sz w:val="24"/>
          <w:szCs w:val="24"/>
        </w:rPr>
        <w:t>mitted to the Council’s thirty-fifth session in June 2017.</w:t>
      </w:r>
    </w:p>
    <w:p w:rsidR="00BB21FB" w:rsidRDefault="00BB21FB">
      <w:pPr>
        <w:tabs>
          <w:tab w:val="left" w:pos="993"/>
        </w:tabs>
      </w:pPr>
    </w:p>
    <w:sectPr w:rsidR="00BB21FB">
      <w:headerReference w:type="default" r:id="rId11"/>
      <w:footerReference w:type="default" r:id="rId12"/>
      <w:headerReference w:type="first" r:id="rId13"/>
      <w:pgSz w:w="11906" w:h="16838"/>
      <w:pgMar w:top="1134" w:right="1701" w:bottom="993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4D55">
      <w:r>
        <w:separator/>
      </w:r>
    </w:p>
  </w:endnote>
  <w:endnote w:type="continuationSeparator" w:id="0">
    <w:p w:rsidR="00000000" w:rsidRDefault="0027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1FB" w:rsidRDefault="00BB21FB">
    <w:pPr>
      <w:spacing w:after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4D55">
      <w:r>
        <w:separator/>
      </w:r>
    </w:p>
  </w:footnote>
  <w:footnote w:type="continuationSeparator" w:id="0">
    <w:p w:rsidR="00000000" w:rsidRDefault="0027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1FB" w:rsidRDefault="00274D55">
    <w:pPr>
      <w:tabs>
        <w:tab w:val="right" w:pos="9214"/>
      </w:tabs>
      <w:spacing w:before="284" w:after="840"/>
    </w:pPr>
    <w:r>
      <w:rPr>
        <w:sz w:val="14"/>
        <w:szCs w:val="14"/>
      </w:rPr>
      <w:tab/>
      <w:t xml:space="preserve">PAGE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1028064</wp:posOffset>
          </wp:positionH>
          <wp:positionV relativeFrom="paragraph">
            <wp:posOffset>124460</wp:posOffset>
          </wp:positionV>
          <wp:extent cx="2464435" cy="450215"/>
          <wp:effectExtent l="0" t="0" r="0" b="0"/>
          <wp:wrapSquare wrapText="bothSides" distT="0" distB="0" distL="114300" distR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4435" cy="450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1FB" w:rsidRDefault="00274D55">
    <w:pPr>
      <w:spacing w:before="284" w:after="60"/>
      <w:jc w:val="center"/>
    </w:pPr>
    <w:r>
      <w:rPr>
        <w:noProof/>
      </w:rPr>
      <w:drawing>
        <wp:anchor distT="0" distB="0" distL="114300" distR="114300" simplePos="0" relativeHeight="251659264" behindDoc="0" locked="0" layoutInCell="0" hidden="0" allowOverlap="1">
          <wp:simplePos x="0" y="0"/>
          <wp:positionH relativeFrom="margin">
            <wp:posOffset>985520</wp:posOffset>
          </wp:positionH>
          <wp:positionV relativeFrom="paragraph">
            <wp:posOffset>248284</wp:posOffset>
          </wp:positionV>
          <wp:extent cx="3962400" cy="723900"/>
          <wp:effectExtent l="0" t="0" r="0" b="0"/>
          <wp:wrapSquare wrapText="bothSides" distT="0" distB="0" distL="114300" distR="114300"/>
          <wp:docPr id="2" name="image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24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21FB" w:rsidRDefault="00BB21FB">
    <w:pPr>
      <w:spacing w:before="284" w:after="60"/>
      <w:jc w:val="center"/>
    </w:pPr>
  </w:p>
  <w:p w:rsidR="00BB21FB" w:rsidRDefault="00BB21FB">
    <w:pPr>
      <w:spacing w:before="284" w:after="60"/>
      <w:jc w:val="center"/>
    </w:pPr>
  </w:p>
  <w:p w:rsidR="00BB21FB" w:rsidRDefault="00274D55">
    <w:pPr>
      <w:spacing w:before="284" w:after="60"/>
      <w:jc w:val="center"/>
    </w:pPr>
    <w:r>
      <w:rPr>
        <w:sz w:val="14"/>
        <w:szCs w:val="14"/>
      </w:rPr>
      <w:t>HAUT-COMMISSARIAT AUX DROITS DE L’HOMME • OFFICE OF THE HIGH COMMISSIONER FOR HUMAN RIGHTS</w:t>
    </w:r>
  </w:p>
  <w:p w:rsidR="00BB21FB" w:rsidRDefault="00274D55">
    <w:pPr>
      <w:tabs>
        <w:tab w:val="right" w:pos="3686"/>
        <w:tab w:val="left" w:pos="5812"/>
      </w:tabs>
      <w:jc w:val="center"/>
    </w:pPr>
    <w:r>
      <w:rPr>
        <w:sz w:val="14"/>
        <w:szCs w:val="14"/>
      </w:rPr>
      <w:t>PALAIS DES NATIO</w:t>
    </w:r>
    <w:r>
      <w:rPr>
        <w:sz w:val="14"/>
        <w:szCs w:val="14"/>
      </w:rPr>
      <w:t>NS • 1211 GENEVA 10, SWITZERLAND</w:t>
    </w:r>
  </w:p>
  <w:p w:rsidR="00BB21FB" w:rsidRDefault="00274D55">
    <w:pPr>
      <w:tabs>
        <w:tab w:val="right" w:pos="3686"/>
        <w:tab w:val="left" w:pos="5812"/>
      </w:tabs>
      <w:spacing w:before="80" w:after="360"/>
      <w:jc w:val="center"/>
    </w:pPr>
    <w:r>
      <w:rPr>
        <w:sz w:val="14"/>
        <w:szCs w:val="14"/>
      </w:rPr>
      <w:t>www.ohchr.org • TEL:  +41 22 917 9000 • FAX:  +41 22 917 9008 • E-MAIL:  registry@ohchr.org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FB"/>
    <w:rsid w:val="00274D55"/>
    <w:rsid w:val="00B35E23"/>
    <w:rsid w:val="00BB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B4FBB9-91AB-45F2-B0A2-F1DF5967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-563"/>
      <w:jc w:val="center"/>
      <w:outlineLvl w:val="0"/>
    </w:pPr>
    <w:rPr>
      <w:b/>
      <w:sz w:val="18"/>
      <w:szCs w:val="18"/>
    </w:rPr>
  </w:style>
  <w:style w:type="paragraph" w:styleId="Heading2">
    <w:name w:val="heading 2"/>
    <w:basedOn w:val="Normal"/>
    <w:next w:val="Normal"/>
    <w:pPr>
      <w:keepNext/>
      <w:ind w:left="-293"/>
      <w:jc w:val="center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.ohchr.org/documents/dpage_e.aspx?si=A/HRC/RES/20/2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ap.ohchr.org/documents/dpage_e.aspx?si=A/HRC/RES/20/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.ohchr.org/documents/dpage_e.aspx?si=A/HRC/RES/20/2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ohchr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gistry@ohchr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BAKER</dc:creator>
  <cp:lastModifiedBy>Catherine BAKER</cp:lastModifiedBy>
  <cp:revision>2</cp:revision>
  <dcterms:created xsi:type="dcterms:W3CDTF">2017-01-19T16:37:00Z</dcterms:created>
  <dcterms:modified xsi:type="dcterms:W3CDTF">2017-01-19T16:37:00Z</dcterms:modified>
</cp:coreProperties>
</file>