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D74" w:rsidRPr="00CF4E66" w:rsidRDefault="003E4D74" w:rsidP="002A60F0">
      <w:pPr>
        <w:spacing w:after="0"/>
        <w:jc w:val="both"/>
        <w:rPr>
          <w:rFonts w:ascii="Garamond" w:hAnsi="Garamond"/>
          <w:color w:val="5F5F5F"/>
        </w:rPr>
      </w:pPr>
      <w:r w:rsidRPr="00CF4E66">
        <w:rPr>
          <w:rFonts w:ascii="Garamond" w:hAnsi="Garamond"/>
        </w:rPr>
        <w:t xml:space="preserve">FRIENDS WORLD COMMITTEE FOR CONSULTATION (QUAKERS)    </w:t>
      </w:r>
      <w:r w:rsidRPr="00CF4E66">
        <w:rPr>
          <w:rFonts w:ascii="Garamond" w:hAnsi="Garamond"/>
        </w:rPr>
        <w:tab/>
        <w:t xml:space="preserve">  </w:t>
      </w:r>
      <w:r w:rsidRPr="00CF4E66">
        <w:rPr>
          <w:rFonts w:ascii="Garamond" w:hAnsi="Garamond"/>
        </w:rPr>
        <w:tab/>
        <w:t xml:space="preserve"> </w:t>
      </w:r>
    </w:p>
    <w:p w:rsidR="003E4D74" w:rsidRPr="00CF4E66" w:rsidRDefault="003E4D74" w:rsidP="002A60F0">
      <w:pPr>
        <w:jc w:val="both"/>
        <w:rPr>
          <w:color w:val="999999"/>
        </w:rPr>
      </w:pPr>
      <w:r w:rsidRPr="00C93D7E">
        <w:rPr>
          <w:color w:val="5F5F5F"/>
        </w:rPr>
        <w:t>www.quno.org</w:t>
      </w:r>
      <w:r w:rsidRPr="00C93D7E">
        <w:rPr>
          <w:color w:val="808080"/>
        </w:rPr>
        <w:tab/>
      </w:r>
      <w:r w:rsidRPr="00C93D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C259E" wp14:editId="756C057F">
                <wp:simplePos x="0" y="0"/>
                <wp:positionH relativeFrom="column">
                  <wp:posOffset>4467225</wp:posOffset>
                </wp:positionH>
                <wp:positionV relativeFrom="paragraph">
                  <wp:posOffset>7620</wp:posOffset>
                </wp:positionV>
                <wp:extent cx="1594485" cy="45148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D74" w:rsidRDefault="003E4D74" w:rsidP="003E4D74">
                            <w:pPr>
                              <w:pStyle w:val="FrameContents"/>
                              <w:rPr>
                                <w:sz w:val="18"/>
                                <w:lang w:val="fr-CH"/>
                              </w:rPr>
                            </w:pPr>
                            <w:r>
                              <w:rPr>
                                <w:sz w:val="18"/>
                                <w:lang w:val="fr-CH"/>
                              </w:rPr>
                              <w:t xml:space="preserve">Avenue du </w:t>
                            </w:r>
                            <w:proofErr w:type="spellStart"/>
                            <w:r>
                              <w:rPr>
                                <w:sz w:val="18"/>
                                <w:lang w:val="fr-CH"/>
                              </w:rPr>
                              <w:t>Mervelet</w:t>
                            </w:r>
                            <w:proofErr w:type="spellEnd"/>
                            <w:r>
                              <w:rPr>
                                <w:sz w:val="18"/>
                                <w:lang w:val="fr-CH"/>
                              </w:rPr>
                              <w:t xml:space="preserve"> 13</w:t>
                            </w:r>
                          </w:p>
                          <w:p w:rsidR="003E4D74" w:rsidRPr="00832FF3" w:rsidRDefault="003E4D74" w:rsidP="003E4D74">
                            <w:pPr>
                              <w:pStyle w:val="FrameContents"/>
                              <w:rPr>
                                <w:lang w:val="fr-CH"/>
                              </w:rPr>
                            </w:pPr>
                            <w:r>
                              <w:rPr>
                                <w:sz w:val="18"/>
                                <w:lang w:val="fr-CH"/>
                              </w:rPr>
                              <w:t xml:space="preserve">CH-1209 Geneva, </w:t>
                            </w:r>
                            <w:proofErr w:type="spellStart"/>
                            <w:r>
                              <w:rPr>
                                <w:sz w:val="18"/>
                                <w:lang w:val="fr-CH"/>
                              </w:rPr>
                              <w:t>Switzerland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C259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51.75pt;margin-top:.6pt;width:125.55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" stroked="f" strokeweight=".05pt">
                <v:textbox inset="0,0,0,0">
                  <w:txbxContent>
                    <w:p w:rsidR="003E4D74" w:rsidRDefault="003E4D74" w:rsidP="003E4D74">
                      <w:pPr>
                        <w:pStyle w:val="FrameContents"/>
                        <w:rPr>
                          <w:sz w:val="18"/>
                          <w:lang w:val="fr-CH"/>
                        </w:rPr>
                      </w:pPr>
                      <w:r>
                        <w:rPr>
                          <w:sz w:val="18"/>
                          <w:lang w:val="fr-CH"/>
                        </w:rPr>
                        <w:t>Avenue du Mervelet 13</w:t>
                      </w:r>
                    </w:p>
                    <w:p w:rsidR="003E4D74" w:rsidRPr="00832FF3" w:rsidRDefault="003E4D74" w:rsidP="003E4D74">
                      <w:pPr>
                        <w:pStyle w:val="FrameContents"/>
                        <w:rPr>
                          <w:lang w:val="fr-CH"/>
                        </w:rPr>
                      </w:pPr>
                      <w:r>
                        <w:rPr>
                          <w:sz w:val="18"/>
                          <w:lang w:val="fr-CH"/>
                        </w:rPr>
                        <w:t>CH-1209 Geneva, Switzerland</w:t>
                      </w:r>
                    </w:p>
                  </w:txbxContent>
                </v:textbox>
              </v:shape>
            </w:pict>
          </mc:Fallback>
        </mc:AlternateContent>
      </w:r>
      <w:r w:rsidRPr="00C93D7E">
        <w:rPr>
          <w:color w:val="999999"/>
        </w:rPr>
        <w:tab/>
      </w:r>
      <w:r w:rsidRPr="00C93D7E">
        <w:rPr>
          <w:color w:val="999999"/>
        </w:rPr>
        <w:tab/>
      </w:r>
      <w:r w:rsidRPr="00C93D7E">
        <w:rPr>
          <w:color w:val="999999"/>
        </w:rPr>
        <w:tab/>
      </w:r>
      <w:r w:rsidRPr="00C93D7E">
        <w:rPr>
          <w:color w:val="999999"/>
        </w:rPr>
        <w:tab/>
      </w:r>
      <w:r w:rsidRPr="00C93D7E">
        <w:rPr>
          <w:color w:val="999999"/>
        </w:rPr>
        <w:tab/>
      </w:r>
      <w:r w:rsidRPr="00C93D7E">
        <w:rPr>
          <w:color w:val="999999"/>
        </w:rPr>
        <w:tab/>
      </w:r>
      <w:r w:rsidRPr="00C93D7E">
        <w:rPr>
          <w:color w:val="999999"/>
        </w:rPr>
        <w:tab/>
      </w:r>
      <w:r w:rsidRPr="00C93D7E">
        <w:rPr>
          <w:color w:val="999999"/>
        </w:rPr>
        <w:tab/>
        <w:t xml:space="preserve">       </w:t>
      </w:r>
    </w:p>
    <w:p w:rsidR="003E4D74" w:rsidRDefault="003E4D74" w:rsidP="002A60F0">
      <w:pPr>
        <w:jc w:val="both"/>
      </w:pPr>
      <w:r w:rsidRPr="00C93D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BD6F1" wp14:editId="6311B47D">
                <wp:simplePos x="0" y="0"/>
                <wp:positionH relativeFrom="column">
                  <wp:posOffset>790575</wp:posOffset>
                </wp:positionH>
                <wp:positionV relativeFrom="paragraph">
                  <wp:posOffset>38100</wp:posOffset>
                </wp:positionV>
                <wp:extent cx="3308985" cy="565785"/>
                <wp:effectExtent l="0" t="635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D74" w:rsidRDefault="003E4D74" w:rsidP="003E4D74">
                            <w:pPr>
                              <w:pStyle w:val="FrameContents"/>
                            </w:pPr>
                            <w:r>
                              <w:rPr>
                                <w:b/>
                                <w:color w:val="000000"/>
                                <w:sz w:val="44"/>
                              </w:rPr>
                              <w:t>Q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sz w:val="40"/>
                              </w:rPr>
                              <w:t>uaker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4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sz w:val="40"/>
                              </w:rPr>
                              <w:t>nited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4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sz w:val="40"/>
                              </w:rPr>
                              <w:t>ations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4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sz w:val="40"/>
                              </w:rPr>
                              <w:t>ffice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BD6F1" id="Text Box 8" o:spid="_x0000_s1027" type="#_x0000_t202" style="position:absolute;left:0;text-align:left;margin-left:62.25pt;margin-top:3pt;width:260.55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" stroked="f" strokeweight=".05pt">
                <v:textbox inset="0,0,0,0">
                  <w:txbxContent>
                    <w:p w:rsidR="003E4D74" w:rsidRDefault="003E4D74" w:rsidP="003E4D74">
                      <w:pPr>
                        <w:pStyle w:val="FrameContents"/>
                      </w:pPr>
                      <w:r>
                        <w:rPr>
                          <w:b/>
                          <w:color w:val="000000"/>
                          <w:sz w:val="44"/>
                        </w:rPr>
                        <w:t>Q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sz w:val="40"/>
                        </w:rPr>
                        <w:t>uaker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44"/>
                        </w:rPr>
                        <w:t>U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sz w:val="40"/>
                        </w:rPr>
                        <w:t>nited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44"/>
                        </w:rPr>
                        <w:t>N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sz w:val="40"/>
                        </w:rPr>
                        <w:t>ations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44"/>
                        </w:rPr>
                        <w:t>O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sz w:val="40"/>
                        </w:rPr>
                        <w:t>ffice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93D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6108D" wp14:editId="4FF5D5B3">
                <wp:simplePos x="0" y="0"/>
                <wp:positionH relativeFrom="column">
                  <wp:posOffset>4467225</wp:posOffset>
                </wp:positionH>
                <wp:positionV relativeFrom="paragraph">
                  <wp:posOffset>15240</wp:posOffset>
                </wp:positionV>
                <wp:extent cx="1594485" cy="4508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D74" w:rsidRDefault="003E4D74" w:rsidP="003E4D74">
                            <w:pPr>
                              <w:pStyle w:val="FrameContents"/>
                              <w:rPr>
                                <w:i/>
                                <w:iCs/>
                                <w:color w:val="000000"/>
                                <w:sz w:val="18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  <w:lang w:val="fr-FR"/>
                              </w:rPr>
                              <w:t xml:space="preserve">Tel  </w:t>
                            </w:r>
                            <w:r>
                              <w:rPr>
                                <w:color w:val="000000"/>
                                <w:sz w:val="18"/>
                                <w:lang w:val="fr-FR"/>
                              </w:rPr>
                              <w:t>+</w:t>
                            </w:r>
                            <w:proofErr w:type="gramEnd"/>
                            <w:r>
                              <w:rPr>
                                <w:color w:val="000000"/>
                                <w:sz w:val="18"/>
                                <w:lang w:val="fr-FR"/>
                              </w:rPr>
                              <w:t>41 (22) 748 4804</w:t>
                            </w:r>
                          </w:p>
                          <w:p w:rsidR="003E4D74" w:rsidRDefault="003E4D74" w:rsidP="003E4D74">
                            <w:pPr>
                              <w:pStyle w:val="FrameContents"/>
                              <w:rPr>
                                <w:i/>
                                <w:iCs/>
                                <w:color w:val="000000"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  <w:lang w:val="fr-FR"/>
                              </w:rPr>
                              <w:t>Fax</w:t>
                            </w:r>
                            <w:r>
                              <w:rPr>
                                <w:color w:val="000000"/>
                                <w:sz w:val="18"/>
                                <w:lang w:val="fr-FR"/>
                              </w:rPr>
                              <w:t xml:space="preserve"> +41 (22) 748 4819</w:t>
                            </w:r>
                          </w:p>
                          <w:p w:rsidR="003E4D74" w:rsidRDefault="003E4D74" w:rsidP="003E4D74">
                            <w:pPr>
                              <w:pStyle w:val="FrameContents"/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  <w:lang w:val="fr-FR"/>
                              </w:rPr>
                              <w:t xml:space="preserve">Email </w:t>
                            </w:r>
                            <w:r>
                              <w:rPr>
                                <w:color w:val="000000"/>
                                <w:sz w:val="18"/>
                                <w:lang w:val="fr-FR"/>
                              </w:rPr>
                              <w:t xml:space="preserve"> ltownhead@quno.ch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6108D" id="Text Box 9" o:spid="_x0000_s1028" type="#_x0000_t202" style="position:absolute;left:0;text-align:left;margin-left:351.75pt;margin-top:1.2pt;width:125.55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" stroked="f" strokeweight=".05pt">
                <v:textbox inset="0,0,0,0">
                  <w:txbxContent>
                    <w:p w:rsidR="003E4D74" w:rsidRDefault="003E4D74" w:rsidP="003E4D74">
                      <w:pPr>
                        <w:pStyle w:val="FrameContents"/>
                        <w:rPr>
                          <w:i/>
                          <w:iCs/>
                          <w:color w:val="000000"/>
                          <w:sz w:val="18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8"/>
                          <w:lang w:val="fr-FR"/>
                        </w:rPr>
                        <w:t xml:space="preserve">Tel  </w:t>
                      </w:r>
                      <w:r>
                        <w:rPr>
                          <w:color w:val="000000"/>
                          <w:sz w:val="18"/>
                          <w:lang w:val="fr-FR"/>
                        </w:rPr>
                        <w:t>+41 (22) 748 4804</w:t>
                      </w:r>
                    </w:p>
                    <w:p w:rsidR="003E4D74" w:rsidRDefault="003E4D74" w:rsidP="003E4D74">
                      <w:pPr>
                        <w:pStyle w:val="FrameContents"/>
                        <w:rPr>
                          <w:i/>
                          <w:iCs/>
                          <w:color w:val="000000"/>
                          <w:sz w:val="18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8"/>
                          <w:lang w:val="fr-FR"/>
                        </w:rPr>
                        <w:t>Fax</w:t>
                      </w:r>
                      <w:r>
                        <w:rPr>
                          <w:color w:val="000000"/>
                          <w:sz w:val="18"/>
                          <w:lang w:val="fr-FR"/>
                        </w:rPr>
                        <w:t xml:space="preserve"> +41 (22) 748 4819</w:t>
                      </w:r>
                    </w:p>
                    <w:p w:rsidR="003E4D74" w:rsidRDefault="003E4D74" w:rsidP="003E4D74">
                      <w:pPr>
                        <w:pStyle w:val="FrameContents"/>
                      </w:pPr>
                      <w:r>
                        <w:rPr>
                          <w:i/>
                          <w:iCs/>
                          <w:color w:val="000000"/>
                          <w:sz w:val="18"/>
                          <w:lang w:val="fr-FR"/>
                        </w:rPr>
                        <w:t xml:space="preserve">Email </w:t>
                      </w:r>
                      <w:r>
                        <w:rPr>
                          <w:color w:val="000000"/>
                          <w:sz w:val="18"/>
                          <w:lang w:val="fr-FR"/>
                        </w:rPr>
                        <w:t xml:space="preserve"> ltownhead@quno.ch</w:t>
                      </w:r>
                      <w:r>
                        <w:rPr>
                          <w:lang w:val="fr-F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C93D7E">
        <w:rPr>
          <w:noProof/>
          <w:lang w:eastAsia="en-GB"/>
        </w:rPr>
        <w:drawing>
          <wp:inline distT="0" distB="0" distL="0" distR="0" wp14:anchorId="2514241F" wp14:editId="10BA88EA">
            <wp:extent cx="609600" cy="5429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3E4D74" w:rsidRDefault="003E4D74" w:rsidP="002A60F0">
      <w:pPr>
        <w:jc w:val="both"/>
      </w:pPr>
    </w:p>
    <w:p w:rsidR="00487E77" w:rsidRPr="00173B63" w:rsidRDefault="004A6718" w:rsidP="002A60F0">
      <w:pPr>
        <w:rPr>
          <w:b/>
          <w:sz w:val="24"/>
        </w:rPr>
      </w:pPr>
      <w:r w:rsidRPr="00173B63">
        <w:rPr>
          <w:b/>
          <w:sz w:val="24"/>
        </w:rPr>
        <w:t xml:space="preserve">Towards a Human Rights Based Global Compact </w:t>
      </w:r>
      <w:r w:rsidR="000935ED" w:rsidRPr="00173B63">
        <w:rPr>
          <w:b/>
          <w:sz w:val="24"/>
        </w:rPr>
        <w:t>for</w:t>
      </w:r>
      <w:r w:rsidRPr="00173B63">
        <w:rPr>
          <w:b/>
          <w:sz w:val="24"/>
        </w:rPr>
        <w:t xml:space="preserve"> Safe, Orderly and Regular Migration: Implementation, Monitoring and Accountability Mechanisms (initial reflections)</w:t>
      </w:r>
      <w:r w:rsidRPr="00173B63">
        <w:rPr>
          <w:rStyle w:val="FootnoteReference"/>
          <w:b/>
          <w:sz w:val="24"/>
        </w:rPr>
        <w:footnoteReference w:id="1"/>
      </w:r>
    </w:p>
    <w:p w:rsidR="00173B63" w:rsidRPr="00173B63" w:rsidRDefault="00173B63" w:rsidP="002A60F0">
      <w:pPr>
        <w:jc w:val="both"/>
        <w:rPr>
          <w:sz w:val="8"/>
        </w:rPr>
      </w:pPr>
    </w:p>
    <w:p w:rsidR="004A6718" w:rsidRDefault="00CF627B" w:rsidP="002A60F0">
      <w:pPr>
        <w:jc w:val="both"/>
      </w:pPr>
      <w:r>
        <w:t>These reflections are</w:t>
      </w:r>
      <w:r w:rsidR="002D1A1A">
        <w:t xml:space="preserve"> </w:t>
      </w:r>
      <w:r w:rsidR="004A6718">
        <w:t>based on work to date analysing different implementation, monitoring and accountability mechanisms from various UN treaties and agreements.</w:t>
      </w:r>
      <w:r w:rsidR="004A6718">
        <w:rPr>
          <w:rStyle w:val="FootnoteReference"/>
        </w:rPr>
        <w:footnoteReference w:id="2"/>
      </w:r>
      <w:r w:rsidR="004A6718">
        <w:t xml:space="preserve"> </w:t>
      </w:r>
      <w:r w:rsidR="002D1A1A">
        <w:t xml:space="preserve">A </w:t>
      </w:r>
      <w:r w:rsidR="004A6718">
        <w:t>full paper will follow shortly</w:t>
      </w:r>
      <w:r>
        <w:t xml:space="preserve">. </w:t>
      </w:r>
      <w:r w:rsidR="003A6E38">
        <w:t>Our</w:t>
      </w:r>
      <w:r w:rsidR="004A6718">
        <w:t xml:space="preserve"> </w:t>
      </w:r>
      <w:r>
        <w:t xml:space="preserve">interim </w:t>
      </w:r>
      <w:r w:rsidR="00D648DB">
        <w:t xml:space="preserve">reflections highlight </w:t>
      </w:r>
      <w:r w:rsidR="002D1A1A">
        <w:t xml:space="preserve">elements </w:t>
      </w:r>
      <w:r w:rsidR="003C2D7F">
        <w:t>found in</w:t>
      </w:r>
      <w:r w:rsidR="002D1A1A">
        <w:t xml:space="preserve"> </w:t>
      </w:r>
      <w:r w:rsidR="0064142C">
        <w:t>other international</w:t>
      </w:r>
      <w:r w:rsidR="002D1A1A">
        <w:t xml:space="preserve"> agreements that we believe can be learnt from in considering how best to build effective implementation, monitoring and accountability mechanisms into the Global Compact</w:t>
      </w:r>
      <w:r w:rsidR="00CC1015">
        <w:t xml:space="preserve"> on Safe Orderly and Regular Migration</w:t>
      </w:r>
      <w:r w:rsidR="0080676C">
        <w:t xml:space="preserve">. We </w:t>
      </w:r>
      <w:r w:rsidR="002D1A1A">
        <w:t>shar</w:t>
      </w:r>
      <w:r w:rsidR="0080676C">
        <w:t xml:space="preserve">e them </w:t>
      </w:r>
      <w:r w:rsidR="000475B6">
        <w:t xml:space="preserve">at this stage </w:t>
      </w:r>
      <w:r w:rsidR="00C17C8B">
        <w:t xml:space="preserve">for consideration </w:t>
      </w:r>
      <w:r w:rsidR="000170A4">
        <w:t xml:space="preserve">ahead of the </w:t>
      </w:r>
      <w:r w:rsidR="007B4400">
        <w:t xml:space="preserve">first thematic </w:t>
      </w:r>
      <w:r>
        <w:t xml:space="preserve">consultation. </w:t>
      </w:r>
    </w:p>
    <w:p w:rsidR="00E1609C" w:rsidRPr="00A95D0B" w:rsidRDefault="00E1609C" w:rsidP="002A60F0">
      <w:pPr>
        <w:jc w:val="both"/>
        <w:rPr>
          <w:i/>
          <w:sz w:val="10"/>
        </w:rPr>
      </w:pPr>
    </w:p>
    <w:p w:rsidR="002D1A1A" w:rsidRPr="002D1A1A" w:rsidRDefault="002D1A1A" w:rsidP="002A60F0">
      <w:pPr>
        <w:jc w:val="both"/>
        <w:rPr>
          <w:i/>
        </w:rPr>
      </w:pPr>
      <w:r>
        <w:rPr>
          <w:i/>
        </w:rPr>
        <w:t xml:space="preserve">Importance of </w:t>
      </w:r>
      <w:r w:rsidRPr="002D1A1A">
        <w:rPr>
          <w:i/>
        </w:rPr>
        <w:t>Implementation, Monitoring and Accountability Mechanisms</w:t>
      </w:r>
    </w:p>
    <w:p w:rsidR="002D1A1A" w:rsidRDefault="00B45238" w:rsidP="002A60F0">
      <w:pPr>
        <w:pStyle w:val="ListParagraph"/>
        <w:numPr>
          <w:ilvl w:val="0"/>
          <w:numId w:val="6"/>
        </w:numPr>
        <w:jc w:val="both"/>
      </w:pPr>
      <w:proofErr w:type="gramStart"/>
      <w:r>
        <w:t>In order to</w:t>
      </w:r>
      <w:proofErr w:type="gramEnd"/>
      <w:r>
        <w:t xml:space="preserve"> make an impact on the ground, t</w:t>
      </w:r>
      <w:r w:rsidR="00C5627E">
        <w:t>he Global Compact on</w:t>
      </w:r>
      <w:r w:rsidR="006E6931" w:rsidRPr="006E6931">
        <w:t xml:space="preserve"> </w:t>
      </w:r>
      <w:r w:rsidR="006E6931">
        <w:t>Safe Orderly and Regular</w:t>
      </w:r>
      <w:r w:rsidR="00C5627E">
        <w:t xml:space="preserve"> Migration</w:t>
      </w:r>
      <w:r w:rsidR="002D1A1A">
        <w:t xml:space="preserve"> </w:t>
      </w:r>
      <w:r w:rsidR="00C5627E">
        <w:t>should not be simply</w:t>
      </w:r>
      <w:r w:rsidR="002D1A1A">
        <w:t xml:space="preserve"> a declaration on a declaration</w:t>
      </w:r>
      <w:r w:rsidR="003A3C51">
        <w:t>. Whilst what is agreed in 2018 is</w:t>
      </w:r>
      <w:r w:rsidR="009141A8">
        <w:t xml:space="preserve"> likely to be non-binding, there is a recognisable trend </w:t>
      </w:r>
      <w:r w:rsidR="00711274">
        <w:t>towards</w:t>
      </w:r>
      <w:r w:rsidR="009141A8">
        <w:t xml:space="preserve"> including </w:t>
      </w:r>
      <w:r w:rsidR="002A368F">
        <w:t xml:space="preserve">implementation and </w:t>
      </w:r>
      <w:r w:rsidR="009141A8">
        <w:t xml:space="preserve">follow-up mechanisms </w:t>
      </w:r>
      <w:r w:rsidR="006025DB">
        <w:t>in</w:t>
      </w:r>
      <w:r w:rsidR="009141A8">
        <w:t xml:space="preserve"> soft law agreements</w:t>
      </w:r>
      <w:r w:rsidR="002D1A1A">
        <w:t xml:space="preserve">. </w:t>
      </w:r>
      <w:r w:rsidR="006E6931">
        <w:t xml:space="preserve">As such, if the Global Compact is to be non-binding, </w:t>
      </w:r>
      <w:r w:rsidR="00CC5D09">
        <w:t>it is essential that it</w:t>
      </w:r>
      <w:r w:rsidR="001E463D">
        <w:t xml:space="preserve"> contains at least an</w:t>
      </w:r>
      <w:r w:rsidR="00CC5D09">
        <w:t xml:space="preserve"> </w:t>
      </w:r>
      <w:r w:rsidR="00F53082">
        <w:t>outlin</w:t>
      </w:r>
      <w:r w:rsidR="00CC5D09">
        <w:t>e</w:t>
      </w:r>
      <w:r w:rsidR="001E463D">
        <w:t xml:space="preserve"> of</w:t>
      </w:r>
      <w:r w:rsidR="003C2414">
        <w:t xml:space="preserve"> how </w:t>
      </w:r>
      <w:r w:rsidR="00076B1F">
        <w:t>any</w:t>
      </w:r>
      <w:r w:rsidR="00A93D0D">
        <w:t xml:space="preserve"> commitments made by States</w:t>
      </w:r>
      <w:r w:rsidR="003C2414">
        <w:t xml:space="preserve"> will be implemented and monitored</w:t>
      </w:r>
      <w:r w:rsidR="00D30E28">
        <w:t xml:space="preserve"> over time</w:t>
      </w:r>
      <w:r w:rsidR="003C2414">
        <w:t>.</w:t>
      </w:r>
    </w:p>
    <w:p w:rsidR="00F905DB" w:rsidRDefault="00903698" w:rsidP="002A60F0">
      <w:pPr>
        <w:pStyle w:val="ListParagraph"/>
        <w:numPr>
          <w:ilvl w:val="0"/>
          <w:numId w:val="6"/>
        </w:numPr>
        <w:jc w:val="both"/>
      </w:pPr>
      <w:r>
        <w:t>The Compact should consider how it will ensure follow-</w:t>
      </w:r>
      <w:r w:rsidR="002D1A1A">
        <w:t xml:space="preserve">up and accountability for </w:t>
      </w:r>
      <w:r>
        <w:t>those it most affects</w:t>
      </w:r>
      <w:r w:rsidR="00726AB6">
        <w:t xml:space="preserve">, i.e. </w:t>
      </w:r>
      <w:r>
        <w:t xml:space="preserve">migrants </w:t>
      </w:r>
      <w:r w:rsidR="00726AB6">
        <w:t xml:space="preserve">themselves. </w:t>
      </w:r>
      <w:r w:rsidR="00B41205">
        <w:t>In addition, due to the inherently cross-border nature of the issue</w:t>
      </w:r>
      <w:r w:rsidR="006851C3">
        <w:t>, the Compact</w:t>
      </w:r>
      <w:r w:rsidR="00F905DB">
        <w:t xml:space="preserve"> should also consider </w:t>
      </w:r>
      <w:r w:rsidR="001251D1">
        <w:t xml:space="preserve">how to respond to situations concerning </w:t>
      </w:r>
      <w:r w:rsidR="00F905DB">
        <w:t>State-State relationships</w:t>
      </w:r>
      <w:r w:rsidR="00F905DB" w:rsidRPr="00F905DB">
        <w:t xml:space="preserve"> </w:t>
      </w:r>
      <w:r w:rsidR="00B41205">
        <w:t>and duties</w:t>
      </w:r>
      <w:r w:rsidR="00FD7268">
        <w:t xml:space="preserve"> </w:t>
      </w:r>
      <w:r w:rsidR="00D90989">
        <w:t>regarding</w:t>
      </w:r>
      <w:r w:rsidR="00FD7268">
        <w:t xml:space="preserve"> migration</w:t>
      </w:r>
      <w:r w:rsidR="00B41205">
        <w:t>.</w:t>
      </w:r>
    </w:p>
    <w:p w:rsidR="0032350E" w:rsidRPr="0032350E" w:rsidRDefault="0032350E" w:rsidP="002A60F0">
      <w:pPr>
        <w:jc w:val="both"/>
        <w:rPr>
          <w:i/>
          <w:sz w:val="4"/>
        </w:rPr>
      </w:pPr>
    </w:p>
    <w:p w:rsidR="002D1A1A" w:rsidRDefault="002D1A1A" w:rsidP="002A60F0">
      <w:pPr>
        <w:jc w:val="both"/>
        <w:rPr>
          <w:i/>
        </w:rPr>
      </w:pPr>
      <w:r>
        <w:rPr>
          <w:i/>
        </w:rPr>
        <w:t xml:space="preserve">Elements of Effective </w:t>
      </w:r>
      <w:r w:rsidRPr="002D1A1A">
        <w:rPr>
          <w:i/>
        </w:rPr>
        <w:t>Implementation, Monitoring and Accountability Mechanisms</w:t>
      </w:r>
    </w:p>
    <w:p w:rsidR="002D1A1A" w:rsidRDefault="002D1A1A" w:rsidP="002A60F0">
      <w:pPr>
        <w:pStyle w:val="ListParagraph"/>
        <w:numPr>
          <w:ilvl w:val="0"/>
          <w:numId w:val="2"/>
        </w:numPr>
        <w:jc w:val="both"/>
      </w:pPr>
      <w:bookmarkStart w:id="0" w:name="_GoBack"/>
      <w:r w:rsidRPr="005116F0">
        <w:rPr>
          <w:b/>
        </w:rPr>
        <w:t>National Strategies</w:t>
      </w:r>
      <w:r>
        <w:t xml:space="preserve"> – </w:t>
      </w:r>
      <w:r w:rsidR="00541642">
        <w:t xml:space="preserve">on national </w:t>
      </w:r>
      <w:r w:rsidR="00786C8A">
        <w:t>implementation</w:t>
      </w:r>
      <w:r w:rsidR="00541642">
        <w:t xml:space="preserve"> that include</w:t>
      </w:r>
      <w:r>
        <w:t xml:space="preserve"> guidance/review </w:t>
      </w:r>
      <w:r w:rsidR="00541642">
        <w:t>mechanisms, with support from a</w:t>
      </w:r>
      <w:r>
        <w:t xml:space="preserve"> tech</w:t>
      </w:r>
      <w:r w:rsidR="00541642">
        <w:t>nical</w:t>
      </w:r>
      <w:r w:rsidR="009E2A02">
        <w:t xml:space="preserve"> expert body; prepared and developed in</w:t>
      </w:r>
      <w:r>
        <w:t xml:space="preserve"> consultation </w:t>
      </w:r>
      <w:r w:rsidR="009E2A02">
        <w:t>with a wide range of different actors</w:t>
      </w:r>
      <w:r>
        <w:t xml:space="preserve">; building </w:t>
      </w:r>
      <w:r w:rsidR="009E2A02">
        <w:t xml:space="preserve">a </w:t>
      </w:r>
      <w:r>
        <w:t xml:space="preserve">whole of </w:t>
      </w:r>
      <w:r w:rsidR="009A3B61">
        <w:t>G</w:t>
      </w:r>
      <w:r w:rsidR="006D361D">
        <w:t>overnment</w:t>
      </w:r>
      <w:r>
        <w:t xml:space="preserve"> r</w:t>
      </w:r>
      <w:r w:rsidR="006D361D">
        <w:t xml:space="preserve">esponse and </w:t>
      </w:r>
      <w:r w:rsidR="004F10EC">
        <w:t>enabling</w:t>
      </w:r>
      <w:r w:rsidR="006D361D">
        <w:t xml:space="preserve"> national and local ownership</w:t>
      </w:r>
      <w:r w:rsidR="00EF1570">
        <w:t>; with a schedule for reporting</w:t>
      </w:r>
      <w:r>
        <w:t xml:space="preserve">. </w:t>
      </w:r>
      <w:r w:rsidR="00821DEF" w:rsidRPr="000961D8">
        <w:rPr>
          <w:sz w:val="20"/>
        </w:rPr>
        <w:t>(</w:t>
      </w:r>
      <w:r w:rsidR="00FB4021" w:rsidRPr="000961D8">
        <w:rPr>
          <w:i/>
          <w:sz w:val="20"/>
        </w:rPr>
        <w:t xml:space="preserve">For example, </w:t>
      </w:r>
      <w:r w:rsidR="00833E46" w:rsidRPr="000961D8">
        <w:rPr>
          <w:i/>
          <w:sz w:val="20"/>
        </w:rPr>
        <w:t xml:space="preserve">under the Convention on Biological </w:t>
      </w:r>
      <w:r w:rsidR="00833E46" w:rsidRPr="000961D8">
        <w:rPr>
          <w:i/>
          <w:sz w:val="20"/>
        </w:rPr>
        <w:lastRenderedPageBreak/>
        <w:t>Diversity</w:t>
      </w:r>
      <w:r w:rsidR="00833E46">
        <w:rPr>
          <w:i/>
          <w:sz w:val="20"/>
        </w:rPr>
        <w:t>,</w:t>
      </w:r>
      <w:r w:rsidR="00833E46" w:rsidRPr="000961D8">
        <w:rPr>
          <w:i/>
          <w:sz w:val="20"/>
        </w:rPr>
        <w:t xml:space="preserve"> national strategies </w:t>
      </w:r>
      <w:r w:rsidR="00833E46">
        <w:rPr>
          <w:i/>
          <w:sz w:val="20"/>
        </w:rPr>
        <w:t xml:space="preserve">and action plans </w:t>
      </w:r>
      <w:r w:rsidR="00833E46" w:rsidRPr="000961D8">
        <w:rPr>
          <w:i/>
          <w:sz w:val="20"/>
        </w:rPr>
        <w:t>are mandatory and designed to be mainstreamed across</w:t>
      </w:r>
      <w:r w:rsidR="00833E46">
        <w:rPr>
          <w:i/>
          <w:sz w:val="20"/>
        </w:rPr>
        <w:t xml:space="preserve"> national</w:t>
      </w:r>
      <w:r w:rsidR="00833E46" w:rsidRPr="000961D8">
        <w:rPr>
          <w:i/>
          <w:sz w:val="20"/>
        </w:rPr>
        <w:t xml:space="preserve"> Government</w:t>
      </w:r>
      <w:r w:rsidR="00821DEF" w:rsidRPr="000961D8">
        <w:rPr>
          <w:sz w:val="20"/>
        </w:rPr>
        <w:t>)</w:t>
      </w:r>
      <w:r w:rsidR="00E81F49" w:rsidRPr="000961D8">
        <w:rPr>
          <w:sz w:val="20"/>
        </w:rPr>
        <w:t>.</w:t>
      </w:r>
    </w:p>
    <w:p w:rsidR="002F43E5" w:rsidRDefault="002F43E5" w:rsidP="002A60F0">
      <w:pPr>
        <w:pStyle w:val="ListParagraph"/>
        <w:numPr>
          <w:ilvl w:val="0"/>
          <w:numId w:val="2"/>
        </w:numPr>
        <w:jc w:val="both"/>
      </w:pPr>
      <w:r w:rsidRPr="005116F0">
        <w:rPr>
          <w:b/>
        </w:rPr>
        <w:t>Technical advisory body</w:t>
      </w:r>
      <w:r>
        <w:t xml:space="preserve"> – to assist with and guide development of National Strategies, offer impartial research, guidance</w:t>
      </w:r>
      <w:r w:rsidR="00BA1047">
        <w:t xml:space="preserve"> and facilitate dissemination of good practice</w:t>
      </w:r>
      <w:r w:rsidR="005061FE">
        <w:t>.</w:t>
      </w:r>
      <w:r>
        <w:t xml:space="preserve"> </w:t>
      </w:r>
      <w:r w:rsidRPr="00B511FE">
        <w:rPr>
          <w:sz w:val="20"/>
        </w:rPr>
        <w:t>(</w:t>
      </w:r>
      <w:r w:rsidR="00B511FE" w:rsidRPr="00B511FE">
        <w:rPr>
          <w:i/>
          <w:sz w:val="20"/>
        </w:rPr>
        <w:t>For example</w:t>
      </w:r>
      <w:r w:rsidR="00894DCB">
        <w:rPr>
          <w:i/>
          <w:sz w:val="20"/>
        </w:rPr>
        <w:t>,</w:t>
      </w:r>
      <w:r w:rsidR="00894DCB" w:rsidRPr="00894DCB">
        <w:rPr>
          <w:i/>
          <w:sz w:val="20"/>
        </w:rPr>
        <w:t xml:space="preserve"> </w:t>
      </w:r>
      <w:r w:rsidR="00894DCB" w:rsidRPr="005A005C">
        <w:rPr>
          <w:i/>
          <w:sz w:val="20"/>
        </w:rPr>
        <w:t>under the Paris Agreement,</w:t>
      </w:r>
      <w:r w:rsidR="00894DCB">
        <w:rPr>
          <w:i/>
          <w:sz w:val="20"/>
        </w:rPr>
        <w:t xml:space="preserve"> </w:t>
      </w:r>
      <w:r w:rsidR="001E134E">
        <w:rPr>
          <w:i/>
          <w:sz w:val="20"/>
        </w:rPr>
        <w:t>various</w:t>
      </w:r>
      <w:r w:rsidR="00894DCB">
        <w:rPr>
          <w:i/>
          <w:sz w:val="20"/>
        </w:rPr>
        <w:t xml:space="preserve"> subsidiary bodies provide technical support to Stat</w:t>
      </w:r>
      <w:r w:rsidR="00A1252A">
        <w:rPr>
          <w:i/>
          <w:sz w:val="20"/>
        </w:rPr>
        <w:t>es</w:t>
      </w:r>
      <w:r w:rsidR="0045044F">
        <w:rPr>
          <w:i/>
          <w:sz w:val="20"/>
        </w:rPr>
        <w:t xml:space="preserve"> on implementation of the Convention</w:t>
      </w:r>
      <w:r w:rsidR="00FC413D" w:rsidRPr="00B511FE">
        <w:rPr>
          <w:sz w:val="20"/>
        </w:rPr>
        <w:t>)</w:t>
      </w:r>
      <w:r w:rsidR="00133AF7">
        <w:rPr>
          <w:sz w:val="20"/>
        </w:rPr>
        <w:t>.</w:t>
      </w:r>
      <w:r w:rsidR="0036464C" w:rsidRPr="00B511FE">
        <w:rPr>
          <w:sz w:val="20"/>
        </w:rPr>
        <w:t xml:space="preserve"> </w:t>
      </w:r>
    </w:p>
    <w:p w:rsidR="002F43E5" w:rsidRDefault="002F43E5" w:rsidP="002A60F0">
      <w:pPr>
        <w:pStyle w:val="ListParagraph"/>
        <w:numPr>
          <w:ilvl w:val="0"/>
          <w:numId w:val="2"/>
        </w:numPr>
        <w:jc w:val="both"/>
      </w:pPr>
      <w:r w:rsidRPr="005116F0">
        <w:rPr>
          <w:b/>
        </w:rPr>
        <w:t>Forum for practice sharing and cooperation</w:t>
      </w:r>
      <w:r>
        <w:t xml:space="preserve"> – </w:t>
      </w:r>
      <w:r w:rsidR="00BB271D">
        <w:t xml:space="preserve">allow States to </w:t>
      </w:r>
      <w:r w:rsidR="001A6562">
        <w:t>shar</w:t>
      </w:r>
      <w:r w:rsidR="00BB271D">
        <w:t>e</w:t>
      </w:r>
      <w:r w:rsidR="001A6562">
        <w:t xml:space="preserve"> good practice, </w:t>
      </w:r>
      <w:r w:rsidR="00BB271D">
        <w:t xml:space="preserve">as well as </w:t>
      </w:r>
      <w:r w:rsidR="001A6562">
        <w:t xml:space="preserve">national challenges and ways </w:t>
      </w:r>
      <w:r w:rsidR="00BB271D">
        <w:t>that these</w:t>
      </w:r>
      <w:r w:rsidR="00B80FEA">
        <w:t xml:space="preserve"> have been overcome; </w:t>
      </w:r>
      <w:r w:rsidR="00F00845">
        <w:t>with</w:t>
      </w:r>
      <w:r w:rsidR="008006B2">
        <w:t xml:space="preserve"> a </w:t>
      </w:r>
      <w:r w:rsidR="00B80FEA">
        <w:t xml:space="preserve">supportive rather than punitive approach </w:t>
      </w:r>
      <w:r w:rsidR="009E42D2">
        <w:t xml:space="preserve">to </w:t>
      </w:r>
      <w:r w:rsidR="00B80FEA">
        <w:t>promote a</w:t>
      </w:r>
      <w:r>
        <w:t xml:space="preserve"> race to the top</w:t>
      </w:r>
      <w:r w:rsidR="005061FE">
        <w:t>.</w:t>
      </w:r>
      <w:r w:rsidR="00BA2570">
        <w:t xml:space="preserve"> </w:t>
      </w:r>
      <w:r w:rsidRPr="008E2835">
        <w:rPr>
          <w:sz w:val="20"/>
        </w:rPr>
        <w:t>(</w:t>
      </w:r>
      <w:r w:rsidR="000A1E74" w:rsidRPr="008E2835">
        <w:rPr>
          <w:i/>
          <w:sz w:val="20"/>
        </w:rPr>
        <w:t xml:space="preserve">For example, under the SDGs, the High Level Political Forum provides a space </w:t>
      </w:r>
      <w:r w:rsidR="0032113F">
        <w:rPr>
          <w:i/>
          <w:sz w:val="20"/>
        </w:rPr>
        <w:t xml:space="preserve">for </w:t>
      </w:r>
      <w:r w:rsidR="00230BA3">
        <w:rPr>
          <w:i/>
          <w:sz w:val="20"/>
        </w:rPr>
        <w:t>sharing between States</w:t>
      </w:r>
      <w:r w:rsidR="000F42F0">
        <w:rPr>
          <w:i/>
          <w:sz w:val="20"/>
        </w:rPr>
        <w:t>, encouraging good practice</w:t>
      </w:r>
      <w:r w:rsidR="000A1E74" w:rsidRPr="008E2835">
        <w:rPr>
          <w:i/>
          <w:sz w:val="20"/>
        </w:rPr>
        <w:t>.</w:t>
      </w:r>
      <w:r w:rsidRPr="008E2835">
        <w:rPr>
          <w:sz w:val="20"/>
        </w:rPr>
        <w:t>)</w:t>
      </w:r>
    </w:p>
    <w:p w:rsidR="002D1A1A" w:rsidRDefault="002D1A1A" w:rsidP="002A60F0">
      <w:pPr>
        <w:pStyle w:val="ListParagraph"/>
        <w:numPr>
          <w:ilvl w:val="0"/>
          <w:numId w:val="2"/>
        </w:numPr>
        <w:jc w:val="both"/>
      </w:pPr>
      <w:r w:rsidRPr="005116F0">
        <w:rPr>
          <w:b/>
        </w:rPr>
        <w:t>Regular Review</w:t>
      </w:r>
      <w:r>
        <w:t xml:space="preserve"> – </w:t>
      </w:r>
      <w:r w:rsidR="004E5219">
        <w:t xml:space="preserve">of implementation </w:t>
      </w:r>
      <w:r w:rsidR="00D8023D">
        <w:t>in a multilateral setting</w:t>
      </w:r>
      <w:r>
        <w:t xml:space="preserve"> or</w:t>
      </w:r>
      <w:r w:rsidR="00D8023D">
        <w:t xml:space="preserve"> by an</w:t>
      </w:r>
      <w:r>
        <w:t xml:space="preserve"> independent expert body (or combination) with </w:t>
      </w:r>
      <w:r w:rsidR="00225607">
        <w:t xml:space="preserve">tools at its disposal for </w:t>
      </w:r>
      <w:r>
        <w:t>dialogue, recommendations</w:t>
      </w:r>
      <w:r w:rsidR="007A538F">
        <w:t xml:space="preserve"> </w:t>
      </w:r>
      <w:r>
        <w:t>and raising concerns</w:t>
      </w:r>
      <w:r w:rsidR="00225607">
        <w:t xml:space="preserve"> with States</w:t>
      </w:r>
      <w:r w:rsidR="005061FE">
        <w:t>.</w:t>
      </w:r>
      <w:r w:rsidR="00225607">
        <w:t xml:space="preserve"> </w:t>
      </w:r>
      <w:r w:rsidR="002F43E5" w:rsidRPr="005A005C">
        <w:rPr>
          <w:sz w:val="20"/>
        </w:rPr>
        <w:t>(</w:t>
      </w:r>
      <w:r w:rsidR="00EA254D" w:rsidRPr="005A005C">
        <w:rPr>
          <w:i/>
          <w:sz w:val="20"/>
        </w:rPr>
        <w:t>For example,</w:t>
      </w:r>
      <w:r w:rsidR="00DF4FD4">
        <w:rPr>
          <w:i/>
          <w:sz w:val="20"/>
        </w:rPr>
        <w:t xml:space="preserve"> under the Human Rights Treaty Bodies, States’ compliance with their obligations are reviewed periodically by expert committees</w:t>
      </w:r>
      <w:r w:rsidR="00ED76F2" w:rsidRPr="005A005C">
        <w:rPr>
          <w:i/>
          <w:sz w:val="20"/>
        </w:rPr>
        <w:t>.</w:t>
      </w:r>
      <w:r w:rsidR="002F43E5" w:rsidRPr="005A005C">
        <w:rPr>
          <w:i/>
          <w:sz w:val="20"/>
        </w:rPr>
        <w:t>)</w:t>
      </w:r>
    </w:p>
    <w:p w:rsidR="001A6562" w:rsidRDefault="001A6562" w:rsidP="002A60F0">
      <w:pPr>
        <w:pStyle w:val="ListParagraph"/>
        <w:numPr>
          <w:ilvl w:val="0"/>
          <w:numId w:val="2"/>
        </w:numPr>
        <w:jc w:val="both"/>
      </w:pPr>
      <w:r w:rsidRPr="005116F0">
        <w:rPr>
          <w:b/>
        </w:rPr>
        <w:t>Mechanism for State-to-State mediation and arbitration regarding non-compliance</w:t>
      </w:r>
      <w:r>
        <w:t xml:space="preserve"> </w:t>
      </w:r>
      <w:r w:rsidR="00C0409F">
        <w:t xml:space="preserve">– to enable inter-state </w:t>
      </w:r>
      <w:r w:rsidR="000B6DE3">
        <w:t xml:space="preserve">issues </w:t>
      </w:r>
      <w:r w:rsidR="00C0409F">
        <w:t>to be raised</w:t>
      </w:r>
      <w:r w:rsidR="000B6DE3">
        <w:t>;</w:t>
      </w:r>
      <w:r w:rsidR="008021B1">
        <w:t xml:space="preserve"> create a mechanism that has tool</w:t>
      </w:r>
      <w:r w:rsidR="003F297A">
        <w:t xml:space="preserve">s to engage the State Parties to bring about </w:t>
      </w:r>
      <w:r w:rsidR="008021B1">
        <w:t>a resolution of the situation</w:t>
      </w:r>
      <w:r w:rsidR="00C0409F">
        <w:t xml:space="preserve">. </w:t>
      </w:r>
      <w:r w:rsidRPr="008E2835">
        <w:rPr>
          <w:sz w:val="20"/>
        </w:rPr>
        <w:t>(</w:t>
      </w:r>
      <w:r w:rsidR="006C5C12" w:rsidRPr="008E2835">
        <w:rPr>
          <w:i/>
          <w:sz w:val="20"/>
        </w:rPr>
        <w:t xml:space="preserve">For </w:t>
      </w:r>
      <w:r w:rsidR="009A43FE">
        <w:rPr>
          <w:i/>
          <w:sz w:val="20"/>
        </w:rPr>
        <w:t>example,</w:t>
      </w:r>
      <w:r w:rsidR="00C858AE">
        <w:rPr>
          <w:i/>
          <w:sz w:val="20"/>
        </w:rPr>
        <w:t xml:space="preserve"> in</w:t>
      </w:r>
      <w:r w:rsidR="003531D4">
        <w:rPr>
          <w:i/>
          <w:sz w:val="20"/>
        </w:rPr>
        <w:t xml:space="preserve"> the</w:t>
      </w:r>
      <w:r w:rsidR="008122A0" w:rsidRPr="00C858AE">
        <w:rPr>
          <w:i/>
          <w:sz w:val="20"/>
        </w:rPr>
        <w:t xml:space="preserve"> I</w:t>
      </w:r>
      <w:r w:rsidR="003531D4">
        <w:rPr>
          <w:i/>
          <w:sz w:val="20"/>
        </w:rPr>
        <w:t xml:space="preserve">nternational </w:t>
      </w:r>
      <w:r w:rsidR="008122A0" w:rsidRPr="00C858AE">
        <w:rPr>
          <w:i/>
          <w:sz w:val="20"/>
        </w:rPr>
        <w:t>L</w:t>
      </w:r>
      <w:r w:rsidR="003531D4">
        <w:rPr>
          <w:i/>
          <w:sz w:val="20"/>
        </w:rPr>
        <w:t>abour Organisation’s</w:t>
      </w:r>
      <w:r w:rsidR="008122A0" w:rsidRPr="00C858AE">
        <w:rPr>
          <w:i/>
          <w:sz w:val="20"/>
        </w:rPr>
        <w:t xml:space="preserve"> Conventions</w:t>
      </w:r>
      <w:r w:rsidR="003247F6">
        <w:rPr>
          <w:i/>
          <w:sz w:val="20"/>
        </w:rPr>
        <w:t>,</w:t>
      </w:r>
      <w:r w:rsidR="007A538F" w:rsidRPr="00C858AE">
        <w:rPr>
          <w:i/>
          <w:sz w:val="20"/>
        </w:rPr>
        <w:t xml:space="preserve"> States can bring </w:t>
      </w:r>
      <w:r w:rsidR="000B6DE3" w:rsidRPr="00C858AE">
        <w:rPr>
          <w:i/>
          <w:sz w:val="20"/>
        </w:rPr>
        <w:t>complaints to the Governing Body</w:t>
      </w:r>
      <w:r w:rsidR="0004673B">
        <w:rPr>
          <w:i/>
          <w:sz w:val="20"/>
        </w:rPr>
        <w:t xml:space="preserve"> about another State’s compliance</w:t>
      </w:r>
      <w:r w:rsidR="000B6DE3" w:rsidRPr="00C858AE">
        <w:rPr>
          <w:i/>
          <w:sz w:val="20"/>
        </w:rPr>
        <w:t xml:space="preserve">, </w:t>
      </w:r>
      <w:r w:rsidR="00190736">
        <w:rPr>
          <w:i/>
          <w:sz w:val="20"/>
        </w:rPr>
        <w:t>which</w:t>
      </w:r>
      <w:r w:rsidR="000B6DE3" w:rsidRPr="00C858AE">
        <w:rPr>
          <w:i/>
          <w:sz w:val="20"/>
        </w:rPr>
        <w:t xml:space="preserve"> has powers to</w:t>
      </w:r>
      <w:r w:rsidR="00085B36">
        <w:rPr>
          <w:i/>
          <w:sz w:val="20"/>
        </w:rPr>
        <w:t xml:space="preserve"> create</w:t>
      </w:r>
      <w:r w:rsidR="006628F6">
        <w:rPr>
          <w:i/>
          <w:sz w:val="20"/>
        </w:rPr>
        <w:t xml:space="preserve"> a</w:t>
      </w:r>
      <w:r w:rsidR="00085B36">
        <w:rPr>
          <w:i/>
          <w:sz w:val="20"/>
        </w:rPr>
        <w:t xml:space="preserve"> </w:t>
      </w:r>
      <w:r w:rsidR="006628F6">
        <w:rPr>
          <w:i/>
          <w:sz w:val="20"/>
        </w:rPr>
        <w:t>Commission of Inquiry</w:t>
      </w:r>
      <w:r w:rsidRPr="00C858AE">
        <w:rPr>
          <w:sz w:val="20"/>
        </w:rPr>
        <w:t>)</w:t>
      </w:r>
      <w:r w:rsidR="00CA1FEE" w:rsidRPr="00C858AE">
        <w:rPr>
          <w:sz w:val="20"/>
        </w:rPr>
        <w:t>.</w:t>
      </w:r>
    </w:p>
    <w:p w:rsidR="000F28DA" w:rsidRPr="004A6718" w:rsidRDefault="002D1A1A" w:rsidP="002A60F0">
      <w:pPr>
        <w:pStyle w:val="ListParagraph"/>
        <w:numPr>
          <w:ilvl w:val="0"/>
          <w:numId w:val="2"/>
        </w:numPr>
        <w:jc w:val="both"/>
      </w:pPr>
      <w:r w:rsidRPr="005116F0">
        <w:rPr>
          <w:b/>
        </w:rPr>
        <w:t>Role for Civil Soc</w:t>
      </w:r>
      <w:r w:rsidR="00A66C50" w:rsidRPr="005116F0">
        <w:rPr>
          <w:b/>
        </w:rPr>
        <w:t>iety</w:t>
      </w:r>
      <w:r w:rsidR="00AD19BF" w:rsidRPr="005116F0">
        <w:rPr>
          <w:b/>
        </w:rPr>
        <w:t>,</w:t>
      </w:r>
      <w:r w:rsidR="00AD19BF">
        <w:t xml:space="preserve"> </w:t>
      </w:r>
      <w:r w:rsidR="00D136C4">
        <w:t>especially those most affected by the agreement</w:t>
      </w:r>
      <w:r w:rsidR="00646C9C">
        <w:t>,</w:t>
      </w:r>
      <w:r w:rsidR="00D136C4">
        <w:t xml:space="preserve"> </w:t>
      </w:r>
      <w:r w:rsidR="00396464">
        <w:t xml:space="preserve">as partners in implementation, with </w:t>
      </w:r>
      <w:r>
        <w:t>meaningful participatio</w:t>
      </w:r>
      <w:r w:rsidR="000804D8">
        <w:t xml:space="preserve">n in all </w:t>
      </w:r>
      <w:r w:rsidR="00396464">
        <w:t>mechanisms related to implementation</w:t>
      </w:r>
      <w:r w:rsidR="000804D8">
        <w:t>; i</w:t>
      </w:r>
      <w:r w:rsidR="00651A1C">
        <w:t>mplementation processes that ar</w:t>
      </w:r>
      <w:r w:rsidR="004D31FA">
        <w:t>e transparent and participatory,</w:t>
      </w:r>
      <w:r w:rsidR="00651A1C">
        <w:t xml:space="preserve"> </w:t>
      </w:r>
      <w:r w:rsidR="00655436">
        <w:t>to encourage national and l</w:t>
      </w:r>
      <w:r w:rsidR="00AA7151">
        <w:t>o</w:t>
      </w:r>
      <w:r w:rsidR="00DD240F">
        <w:t xml:space="preserve">cal ownership of the agreement. </w:t>
      </w:r>
      <w:r w:rsidR="001A6562" w:rsidRPr="000961D8">
        <w:rPr>
          <w:sz w:val="20"/>
        </w:rPr>
        <w:t>(</w:t>
      </w:r>
      <w:r w:rsidR="000D55B2" w:rsidRPr="000961D8">
        <w:rPr>
          <w:i/>
          <w:sz w:val="20"/>
        </w:rPr>
        <w:t xml:space="preserve">For example, under the Aarhus Convention, </w:t>
      </w:r>
      <w:r w:rsidR="00A1098A" w:rsidRPr="000961D8">
        <w:rPr>
          <w:i/>
          <w:sz w:val="20"/>
        </w:rPr>
        <w:t>civil society and members of the public</w:t>
      </w:r>
      <w:r w:rsidR="000B70FD" w:rsidRPr="000961D8">
        <w:rPr>
          <w:i/>
          <w:sz w:val="20"/>
        </w:rPr>
        <w:t xml:space="preserve"> are considered key stakeholders </w:t>
      </w:r>
      <w:r w:rsidR="000A3803" w:rsidRPr="000961D8">
        <w:rPr>
          <w:i/>
          <w:sz w:val="20"/>
        </w:rPr>
        <w:t>in implementing the agreement and can file</w:t>
      </w:r>
      <w:r w:rsidR="000B70FD" w:rsidRPr="000961D8">
        <w:rPr>
          <w:i/>
          <w:sz w:val="20"/>
        </w:rPr>
        <w:t xml:space="preserve"> non-compliance submissions directly</w:t>
      </w:r>
      <w:r w:rsidR="00155598">
        <w:rPr>
          <w:i/>
          <w:sz w:val="20"/>
        </w:rPr>
        <w:t xml:space="preserve"> to the compliance body</w:t>
      </w:r>
      <w:r w:rsidR="000A3803" w:rsidRPr="000961D8">
        <w:rPr>
          <w:i/>
          <w:sz w:val="20"/>
        </w:rPr>
        <w:t>.</w:t>
      </w:r>
      <w:r w:rsidR="001A6562" w:rsidRPr="000961D8">
        <w:rPr>
          <w:sz w:val="20"/>
        </w:rPr>
        <w:t>)</w:t>
      </w:r>
      <w:bookmarkEnd w:id="0"/>
    </w:p>
    <w:sectPr w:rsidR="000F28DA" w:rsidRPr="004A6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718" w:rsidRDefault="004A6718" w:rsidP="004A6718">
      <w:pPr>
        <w:spacing w:after="0" w:line="240" w:lineRule="auto"/>
      </w:pPr>
      <w:r>
        <w:separator/>
      </w:r>
    </w:p>
  </w:endnote>
  <w:endnote w:type="continuationSeparator" w:id="0">
    <w:p w:rsidR="004A6718" w:rsidRDefault="004A6718" w:rsidP="004A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718" w:rsidRDefault="004A6718" w:rsidP="004A6718">
      <w:pPr>
        <w:spacing w:after="0" w:line="240" w:lineRule="auto"/>
      </w:pPr>
      <w:r>
        <w:separator/>
      </w:r>
    </w:p>
  </w:footnote>
  <w:footnote w:type="continuationSeparator" w:id="0">
    <w:p w:rsidR="004A6718" w:rsidRDefault="004A6718" w:rsidP="004A6718">
      <w:pPr>
        <w:spacing w:after="0" w:line="240" w:lineRule="auto"/>
      </w:pPr>
      <w:r>
        <w:continuationSeparator/>
      </w:r>
    </w:p>
  </w:footnote>
  <w:footnote w:id="1">
    <w:p w:rsidR="004A6718" w:rsidRPr="004A6718" w:rsidRDefault="004A671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Complete executive summary and analytical report </w:t>
      </w:r>
      <w:r>
        <w:rPr>
          <w:i/>
        </w:rPr>
        <w:t xml:space="preserve">Paper #3 </w:t>
      </w:r>
      <w:r>
        <w:t xml:space="preserve">due in June.  For previous papers in this series see: </w:t>
      </w:r>
      <w:r w:rsidR="009565D0" w:rsidRPr="009565D0">
        <w:t>http://www.quno.org/areas-of-work/refugees-and-migrants</w:t>
      </w:r>
      <w:r w:rsidR="009565D0">
        <w:t>.</w:t>
      </w:r>
    </w:p>
  </w:footnote>
  <w:footnote w:id="2">
    <w:p w:rsidR="004A6718" w:rsidRPr="00C17019" w:rsidRDefault="004A671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Agreements to be covered in the full paper: </w:t>
      </w:r>
      <w:r w:rsidR="00955F31" w:rsidRPr="00C17019">
        <w:t xml:space="preserve">The </w:t>
      </w:r>
      <w:r w:rsidR="00955F31" w:rsidRPr="00C17019">
        <w:rPr>
          <w:rStyle w:val="Emphasis"/>
          <w:rFonts w:cs="Arial"/>
          <w:bCs/>
          <w:i w:val="0"/>
          <w:shd w:val="clear" w:color="auto" w:fill="FFFFFF"/>
        </w:rPr>
        <w:t>Convention</w:t>
      </w:r>
      <w:r w:rsidR="00955F31" w:rsidRPr="00C17019">
        <w:rPr>
          <w:rStyle w:val="apple-converted-space"/>
          <w:rFonts w:cs="Arial"/>
          <w:shd w:val="clear" w:color="auto" w:fill="FFFFFF"/>
        </w:rPr>
        <w:t> </w:t>
      </w:r>
      <w:r w:rsidR="00955F31" w:rsidRPr="00C17019">
        <w:rPr>
          <w:shd w:val="clear" w:color="auto" w:fill="FFFFFF"/>
        </w:rPr>
        <w:t>on Access to Information, Public Participation in Decision-making and Access to Justice in Environmental Matters (or Aarhus Convention), The Convention on Biological Diversity, The 2030 Agenda for Sustainable Development,</w:t>
      </w:r>
      <w:r w:rsidR="00955F31">
        <w:rPr>
          <w:i/>
          <w:shd w:val="clear" w:color="auto" w:fill="FFFFFF"/>
        </w:rPr>
        <w:t xml:space="preserve"> </w:t>
      </w:r>
      <w:r w:rsidR="00C17019">
        <w:rPr>
          <w:shd w:val="clear" w:color="auto" w:fill="FFFFFF"/>
        </w:rPr>
        <w:t xml:space="preserve">The Paris Agreement, </w:t>
      </w:r>
      <w:r w:rsidR="00C97452">
        <w:rPr>
          <w:shd w:val="clear" w:color="auto" w:fill="FFFFFF"/>
        </w:rPr>
        <w:t xml:space="preserve">ILO Conventions, </w:t>
      </w:r>
      <w:r w:rsidR="009B069C">
        <w:rPr>
          <w:shd w:val="clear" w:color="auto" w:fill="FFFFFF"/>
        </w:rPr>
        <w:t>Human Rights Treaty Bodies.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D5C64"/>
    <w:multiLevelType w:val="hybridMultilevel"/>
    <w:tmpl w:val="3EBA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91C75"/>
    <w:multiLevelType w:val="hybridMultilevel"/>
    <w:tmpl w:val="202A5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858A1"/>
    <w:multiLevelType w:val="hybridMultilevel"/>
    <w:tmpl w:val="763675E8"/>
    <w:lvl w:ilvl="0" w:tplc="F66634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D6FC9"/>
    <w:multiLevelType w:val="hybridMultilevel"/>
    <w:tmpl w:val="3AFC60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6A0B3C"/>
    <w:multiLevelType w:val="hybridMultilevel"/>
    <w:tmpl w:val="69DE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66543"/>
    <w:multiLevelType w:val="hybridMultilevel"/>
    <w:tmpl w:val="04047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FA"/>
    <w:rsid w:val="000041E4"/>
    <w:rsid w:val="000051A2"/>
    <w:rsid w:val="000170A4"/>
    <w:rsid w:val="00022313"/>
    <w:rsid w:val="0004673B"/>
    <w:rsid w:val="000475B6"/>
    <w:rsid w:val="000548B5"/>
    <w:rsid w:val="00056323"/>
    <w:rsid w:val="00061147"/>
    <w:rsid w:val="00076B1F"/>
    <w:rsid w:val="000804D8"/>
    <w:rsid w:val="00085B36"/>
    <w:rsid w:val="000935ED"/>
    <w:rsid w:val="000961D8"/>
    <w:rsid w:val="000A1E74"/>
    <w:rsid w:val="000A3803"/>
    <w:rsid w:val="000B6DE3"/>
    <w:rsid w:val="000B70FD"/>
    <w:rsid w:val="000D55B2"/>
    <w:rsid w:val="000F28DA"/>
    <w:rsid w:val="000F42F0"/>
    <w:rsid w:val="001251D1"/>
    <w:rsid w:val="00133AF7"/>
    <w:rsid w:val="00147D64"/>
    <w:rsid w:val="00152AA9"/>
    <w:rsid w:val="00155598"/>
    <w:rsid w:val="00173B63"/>
    <w:rsid w:val="00190736"/>
    <w:rsid w:val="001A6562"/>
    <w:rsid w:val="001B38F7"/>
    <w:rsid w:val="001B4336"/>
    <w:rsid w:val="001E134E"/>
    <w:rsid w:val="001E463D"/>
    <w:rsid w:val="0021195C"/>
    <w:rsid w:val="00225607"/>
    <w:rsid w:val="00230BA3"/>
    <w:rsid w:val="00244C15"/>
    <w:rsid w:val="0024522C"/>
    <w:rsid w:val="00276773"/>
    <w:rsid w:val="00283B30"/>
    <w:rsid w:val="002866DF"/>
    <w:rsid w:val="00291D56"/>
    <w:rsid w:val="002A368F"/>
    <w:rsid w:val="002A4385"/>
    <w:rsid w:val="002A5153"/>
    <w:rsid w:val="002A60F0"/>
    <w:rsid w:val="002B3A34"/>
    <w:rsid w:val="002D1A1A"/>
    <w:rsid w:val="002D76F7"/>
    <w:rsid w:val="002E6EE1"/>
    <w:rsid w:val="002F43E5"/>
    <w:rsid w:val="0030092A"/>
    <w:rsid w:val="00311663"/>
    <w:rsid w:val="0032113F"/>
    <w:rsid w:val="0032350E"/>
    <w:rsid w:val="003247F6"/>
    <w:rsid w:val="003338A4"/>
    <w:rsid w:val="003531D4"/>
    <w:rsid w:val="00360938"/>
    <w:rsid w:val="0036464C"/>
    <w:rsid w:val="0036572E"/>
    <w:rsid w:val="00396464"/>
    <w:rsid w:val="003974A7"/>
    <w:rsid w:val="003A3C51"/>
    <w:rsid w:val="003A6E38"/>
    <w:rsid w:val="003C2414"/>
    <w:rsid w:val="003C2D7F"/>
    <w:rsid w:val="003D3DD5"/>
    <w:rsid w:val="003E47A0"/>
    <w:rsid w:val="003E4D74"/>
    <w:rsid w:val="003F297A"/>
    <w:rsid w:val="003F440C"/>
    <w:rsid w:val="003F490F"/>
    <w:rsid w:val="0042640E"/>
    <w:rsid w:val="0045044F"/>
    <w:rsid w:val="00463518"/>
    <w:rsid w:val="00465029"/>
    <w:rsid w:val="004666D0"/>
    <w:rsid w:val="00471E93"/>
    <w:rsid w:val="0047771A"/>
    <w:rsid w:val="00484525"/>
    <w:rsid w:val="00487E77"/>
    <w:rsid w:val="004A6718"/>
    <w:rsid w:val="004C233B"/>
    <w:rsid w:val="004D31FA"/>
    <w:rsid w:val="004E5219"/>
    <w:rsid w:val="004F10EC"/>
    <w:rsid w:val="004F4BD9"/>
    <w:rsid w:val="004F7997"/>
    <w:rsid w:val="004F7D0A"/>
    <w:rsid w:val="005061FE"/>
    <w:rsid w:val="005116F0"/>
    <w:rsid w:val="00530921"/>
    <w:rsid w:val="00537C8C"/>
    <w:rsid w:val="00541642"/>
    <w:rsid w:val="005A005C"/>
    <w:rsid w:val="005A3DB4"/>
    <w:rsid w:val="005B67EB"/>
    <w:rsid w:val="005D02C8"/>
    <w:rsid w:val="005D249F"/>
    <w:rsid w:val="005E37F4"/>
    <w:rsid w:val="006025DB"/>
    <w:rsid w:val="006308C5"/>
    <w:rsid w:val="0064142C"/>
    <w:rsid w:val="00646C9C"/>
    <w:rsid w:val="00651A1C"/>
    <w:rsid w:val="00655436"/>
    <w:rsid w:val="006628F6"/>
    <w:rsid w:val="006851C3"/>
    <w:rsid w:val="006B3FD6"/>
    <w:rsid w:val="006C5C12"/>
    <w:rsid w:val="006D361D"/>
    <w:rsid w:val="006E5A1D"/>
    <w:rsid w:val="006E6931"/>
    <w:rsid w:val="00711274"/>
    <w:rsid w:val="007149EE"/>
    <w:rsid w:val="007213D5"/>
    <w:rsid w:val="0072348C"/>
    <w:rsid w:val="00726AB6"/>
    <w:rsid w:val="00730454"/>
    <w:rsid w:val="007307B1"/>
    <w:rsid w:val="00740DDD"/>
    <w:rsid w:val="0076604B"/>
    <w:rsid w:val="00772C55"/>
    <w:rsid w:val="00782A51"/>
    <w:rsid w:val="00786C8A"/>
    <w:rsid w:val="007907E4"/>
    <w:rsid w:val="00790D26"/>
    <w:rsid w:val="007A538F"/>
    <w:rsid w:val="007B4400"/>
    <w:rsid w:val="007B701F"/>
    <w:rsid w:val="007E3072"/>
    <w:rsid w:val="007F751B"/>
    <w:rsid w:val="008006B2"/>
    <w:rsid w:val="008021B1"/>
    <w:rsid w:val="0080591C"/>
    <w:rsid w:val="0080676C"/>
    <w:rsid w:val="008122A0"/>
    <w:rsid w:val="00821DEF"/>
    <w:rsid w:val="00823061"/>
    <w:rsid w:val="00833E46"/>
    <w:rsid w:val="00867FB6"/>
    <w:rsid w:val="00892E89"/>
    <w:rsid w:val="00894DCB"/>
    <w:rsid w:val="008B5FA8"/>
    <w:rsid w:val="008E2835"/>
    <w:rsid w:val="00903698"/>
    <w:rsid w:val="00905C6C"/>
    <w:rsid w:val="00911D1E"/>
    <w:rsid w:val="009141A8"/>
    <w:rsid w:val="009255C7"/>
    <w:rsid w:val="00946C83"/>
    <w:rsid w:val="00955F31"/>
    <w:rsid w:val="009565D0"/>
    <w:rsid w:val="009659AB"/>
    <w:rsid w:val="00985FD4"/>
    <w:rsid w:val="00991A94"/>
    <w:rsid w:val="009A3B61"/>
    <w:rsid w:val="009A43FE"/>
    <w:rsid w:val="009A56CB"/>
    <w:rsid w:val="009B069C"/>
    <w:rsid w:val="009B4AE8"/>
    <w:rsid w:val="009E00F5"/>
    <w:rsid w:val="009E2A02"/>
    <w:rsid w:val="009E42D2"/>
    <w:rsid w:val="009E7F91"/>
    <w:rsid w:val="00A1098A"/>
    <w:rsid w:val="00A1252A"/>
    <w:rsid w:val="00A12F12"/>
    <w:rsid w:val="00A13884"/>
    <w:rsid w:val="00A463AD"/>
    <w:rsid w:val="00A66C50"/>
    <w:rsid w:val="00A878A1"/>
    <w:rsid w:val="00A93D0D"/>
    <w:rsid w:val="00A95D0B"/>
    <w:rsid w:val="00AA0B47"/>
    <w:rsid w:val="00AA7151"/>
    <w:rsid w:val="00AC20AA"/>
    <w:rsid w:val="00AD0B32"/>
    <w:rsid w:val="00AD19BF"/>
    <w:rsid w:val="00AE15D1"/>
    <w:rsid w:val="00AE5272"/>
    <w:rsid w:val="00AF3D99"/>
    <w:rsid w:val="00AF4C62"/>
    <w:rsid w:val="00B23D24"/>
    <w:rsid w:val="00B33FA7"/>
    <w:rsid w:val="00B41205"/>
    <w:rsid w:val="00B45238"/>
    <w:rsid w:val="00B511FE"/>
    <w:rsid w:val="00B80FEA"/>
    <w:rsid w:val="00BA1047"/>
    <w:rsid w:val="00BA2570"/>
    <w:rsid w:val="00BB271D"/>
    <w:rsid w:val="00BC09D5"/>
    <w:rsid w:val="00C0409F"/>
    <w:rsid w:val="00C17019"/>
    <w:rsid w:val="00C17C8B"/>
    <w:rsid w:val="00C44999"/>
    <w:rsid w:val="00C5627E"/>
    <w:rsid w:val="00C76A76"/>
    <w:rsid w:val="00C858AE"/>
    <w:rsid w:val="00C97452"/>
    <w:rsid w:val="00CA1FEE"/>
    <w:rsid w:val="00CC1015"/>
    <w:rsid w:val="00CC5D09"/>
    <w:rsid w:val="00CF627B"/>
    <w:rsid w:val="00D00598"/>
    <w:rsid w:val="00D048D1"/>
    <w:rsid w:val="00D136C4"/>
    <w:rsid w:val="00D17EF2"/>
    <w:rsid w:val="00D30E28"/>
    <w:rsid w:val="00D4155E"/>
    <w:rsid w:val="00D648DB"/>
    <w:rsid w:val="00D707F6"/>
    <w:rsid w:val="00D8023D"/>
    <w:rsid w:val="00D90989"/>
    <w:rsid w:val="00D9194F"/>
    <w:rsid w:val="00D953D2"/>
    <w:rsid w:val="00D964AA"/>
    <w:rsid w:val="00DA5EA0"/>
    <w:rsid w:val="00DA7CB8"/>
    <w:rsid w:val="00DD240F"/>
    <w:rsid w:val="00DE329E"/>
    <w:rsid w:val="00DF4FD4"/>
    <w:rsid w:val="00E1609C"/>
    <w:rsid w:val="00E2234D"/>
    <w:rsid w:val="00E257FA"/>
    <w:rsid w:val="00E61C70"/>
    <w:rsid w:val="00E80882"/>
    <w:rsid w:val="00E81F49"/>
    <w:rsid w:val="00EA08E1"/>
    <w:rsid w:val="00EA254D"/>
    <w:rsid w:val="00EB24E6"/>
    <w:rsid w:val="00ED76F2"/>
    <w:rsid w:val="00EF0370"/>
    <w:rsid w:val="00EF1570"/>
    <w:rsid w:val="00EF25D5"/>
    <w:rsid w:val="00F00845"/>
    <w:rsid w:val="00F00DAC"/>
    <w:rsid w:val="00F12BB1"/>
    <w:rsid w:val="00F53082"/>
    <w:rsid w:val="00F54879"/>
    <w:rsid w:val="00F7493B"/>
    <w:rsid w:val="00F905DB"/>
    <w:rsid w:val="00FB1837"/>
    <w:rsid w:val="00FB4021"/>
    <w:rsid w:val="00FC413D"/>
    <w:rsid w:val="00FD0EEF"/>
    <w:rsid w:val="00FD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47C6"/>
  <w15:chartTrackingRefBased/>
  <w15:docId w15:val="{A4570FF2-7F71-403E-9300-EA21C9B4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A67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6718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A6718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1A1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5F31"/>
  </w:style>
  <w:style w:type="character" w:styleId="Emphasis">
    <w:name w:val="Emphasis"/>
    <w:basedOn w:val="DefaultParagraphFont"/>
    <w:uiPriority w:val="20"/>
    <w:qFormat/>
    <w:rsid w:val="00955F31"/>
    <w:rPr>
      <w:i/>
      <w:iCs/>
    </w:rPr>
  </w:style>
  <w:style w:type="paragraph" w:customStyle="1" w:styleId="FrameContents">
    <w:name w:val="Frame Contents"/>
    <w:basedOn w:val="Normal"/>
    <w:rsid w:val="003E4D7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DD752-8E38-4636-92C6-56A70964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Townhead</dc:creator>
  <cp:keywords/>
  <dc:description/>
  <cp:lastModifiedBy>Catherine BAKER</cp:lastModifiedBy>
  <cp:revision>2</cp:revision>
  <dcterms:created xsi:type="dcterms:W3CDTF">2017-05-02T15:31:00Z</dcterms:created>
  <dcterms:modified xsi:type="dcterms:W3CDTF">2017-05-02T15:31:00Z</dcterms:modified>
</cp:coreProperties>
</file>