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left"/>
        <w:rPr>
          <w:b/>
          <w:b/>
          <w:bCs/>
        </w:rPr>
      </w:pPr>
      <w:r>
        <w:rPr>
          <w:rFonts w:cs="Times New Roman" w:ascii="Times New Roman" w:hAnsi="Times New Roman"/>
          <w:b/>
          <w:bCs/>
        </w:rPr>
        <w:t>A</w:t>
      </w:r>
      <w:r>
        <w:rPr>
          <w:rFonts w:cs="Times New Roman" w:ascii="Times New Roman" w:hAnsi="Times New Roman"/>
          <w:b/>
          <w:bCs/>
        </w:rPr>
        <w:t>dvance copy – check against delivery</w:t>
      </w:r>
    </w:p>
    <w:p>
      <w:pPr>
        <w:pStyle w:val="Normal"/>
        <w:jc w:val="center"/>
        <w:rPr>
          <w:rFonts w:ascii="Times New Roman" w:hAnsi="Times New Roman" w:cs="Times New Roman"/>
          <w:b/>
          <w:b/>
          <w:bCs/>
        </w:rPr>
      </w:pPr>
      <w:r>
        <w:rPr>
          <w:rFonts w:cs="Times New Roman" w:ascii="Times New Roman" w:hAnsi="Times New Roman"/>
          <w:b/>
          <w:bCs/>
        </w:rPr>
      </w:r>
    </w:p>
    <w:p>
      <w:pPr>
        <w:pStyle w:val="Normal"/>
        <w:jc w:val="center"/>
        <w:rPr>
          <w:b/>
          <w:b/>
          <w:bCs/>
        </w:rPr>
      </w:pPr>
      <w:r>
        <w:rPr>
          <w:rFonts w:cs="Times New Roman" w:ascii="Times New Roman" w:hAnsi="Times New Roman"/>
          <w:b/>
          <w:bCs/>
        </w:rPr>
        <w:t xml:space="preserve">OHCHR </w:t>
      </w:r>
      <w:r>
        <w:rPr>
          <w:rFonts w:cs="Times New Roman" w:ascii="Times New Roman" w:hAnsi="Times New Roman"/>
          <w:b/>
          <w:bCs/>
        </w:rPr>
        <w:t xml:space="preserve">Intersessional </w:t>
      </w:r>
      <w:r>
        <w:rPr>
          <w:rFonts w:cs="Times New Roman" w:ascii="Times New Roman" w:hAnsi="Times New Roman"/>
          <w:b/>
          <w:bCs/>
        </w:rPr>
        <w:t xml:space="preserve">Workshop on </w:t>
      </w:r>
      <w:r>
        <w:rPr>
          <w:rFonts w:cs="Times New Roman" w:ascii="Times New Roman" w:hAnsi="Times New Roman"/>
          <w:b/>
          <w:bCs/>
        </w:rPr>
        <w:t>good practices and recent developments in the implementation of the right to c</w:t>
      </w:r>
      <w:r>
        <w:rPr>
          <w:rFonts w:cs="Times New Roman" w:ascii="Times New Roman" w:hAnsi="Times New Roman"/>
          <w:b/>
          <w:bCs/>
        </w:rPr>
        <w:t xml:space="preserve">onscientious </w:t>
      </w:r>
      <w:r>
        <w:rPr>
          <w:rFonts w:cs="Times New Roman" w:ascii="Times New Roman" w:hAnsi="Times New Roman"/>
          <w:b/>
          <w:bCs/>
        </w:rPr>
        <w:t>o</w:t>
      </w:r>
      <w:r>
        <w:rPr>
          <w:rFonts w:cs="Times New Roman" w:ascii="Times New Roman" w:hAnsi="Times New Roman"/>
          <w:b/>
          <w:bCs/>
        </w:rPr>
        <w:t xml:space="preserve">bjection to </w:t>
      </w:r>
      <w:r>
        <w:rPr>
          <w:rFonts w:cs="Times New Roman" w:ascii="Times New Roman" w:hAnsi="Times New Roman"/>
          <w:b/>
          <w:bCs/>
        </w:rPr>
        <w:t>military service in law and practice</w:t>
      </w:r>
    </w:p>
    <w:p>
      <w:pPr>
        <w:pStyle w:val="Normal"/>
        <w:jc w:val="center"/>
        <w:rPr>
          <w:rFonts w:ascii="Times New Roman" w:hAnsi="Times New Roman" w:cs="Times New Roman"/>
          <w:b/>
          <w:b/>
          <w:bCs/>
        </w:rPr>
      </w:pPr>
      <w:r>
        <w:rPr>
          <w:rFonts w:cs="Times New Roman" w:ascii="Times New Roman" w:hAnsi="Times New Roman"/>
          <w:b/>
          <w:bCs/>
        </w:rPr>
      </w:r>
    </w:p>
    <w:p>
      <w:pPr>
        <w:pStyle w:val="Normal"/>
        <w:jc w:val="center"/>
        <w:rPr>
          <w:b/>
          <w:b/>
          <w:bCs/>
        </w:rPr>
      </w:pPr>
      <w:r>
        <w:rPr>
          <w:rFonts w:cs="Times New Roman" w:ascii="Times New Roman" w:hAnsi="Times New Roman"/>
          <w:b/>
          <w:bCs/>
        </w:rPr>
        <w:t>3</w:t>
      </w:r>
      <w:r>
        <w:rPr>
          <w:rFonts w:cs="Times New Roman" w:ascii="Times New Roman" w:hAnsi="Times New Roman"/>
          <w:b/>
          <w:bCs/>
        </w:rPr>
        <w:t>1 October 2023</w:t>
      </w:r>
    </w:p>
    <w:p>
      <w:pPr>
        <w:pStyle w:val="Normal"/>
        <w:rPr>
          <w:rFonts w:ascii="Times New Roman" w:hAnsi="Times New Roman" w:cs="Times New Roman"/>
          <w:b/>
          <w:b/>
          <w:bCs/>
        </w:rPr>
      </w:pPr>
      <w:r>
        <w:rPr>
          <w:rFonts w:cs="Times New Roman" w:ascii="Times New Roman" w:hAnsi="Times New Roman"/>
          <w:b/>
          <w:bCs/>
        </w:rPr>
      </w:r>
    </w:p>
    <w:p>
      <w:pPr>
        <w:pStyle w:val="Normal"/>
        <w:rPr>
          <w:rFonts w:ascii="Times New Roman" w:hAnsi="Times New Roman" w:cs="Times New Roman"/>
          <w:b w:val="false"/>
          <w:b w:val="false"/>
          <w:bCs w:val="false"/>
        </w:rPr>
      </w:pPr>
      <w:r>
        <w:rPr>
          <w:rFonts w:cs="Times New Roman" w:ascii="Times New Roman" w:hAnsi="Times New Roman"/>
          <w:b w:val="false"/>
          <w:bCs w:val="false"/>
        </w:rPr>
      </w:r>
    </w:p>
    <w:p>
      <w:pPr>
        <w:pStyle w:val="Normal"/>
        <w:jc w:val="center"/>
        <w:rPr>
          <w:rFonts w:ascii="Times New Roman" w:hAnsi="Times New Roman" w:cs="Times New Roman"/>
          <w:b/>
          <w:b/>
          <w:bCs/>
        </w:rPr>
      </w:pPr>
      <w:r>
        <w:rPr>
          <w:rFonts w:cs="Times New Roman" w:ascii="Times New Roman" w:hAnsi="Times New Roman"/>
          <w:b/>
          <w:bCs/>
        </w:rPr>
        <w:t>Rachel Brett</w:t>
      </w:r>
    </w:p>
    <w:p>
      <w:pPr>
        <w:pStyle w:val="Normal"/>
        <w:rPr>
          <w:rFonts w:ascii="Times New Roman" w:hAnsi="Times New Roman" w:cs="Times New Roman"/>
          <w:b w:val="false"/>
          <w:b w:val="false"/>
          <w:bCs w:val="false"/>
        </w:rPr>
      </w:pPr>
      <w:r>
        <w:rPr>
          <w:rFonts w:cs="Times New Roman" w:ascii="Times New Roman" w:hAnsi="Times New Roman"/>
          <w:b w:val="false"/>
          <w:bCs w:val="false"/>
        </w:rPr>
      </w:r>
    </w:p>
    <w:p>
      <w:pPr>
        <w:pStyle w:val="Normal"/>
        <w:rPr>
          <w:rFonts w:ascii="Times New Roman" w:hAnsi="Times New Roman" w:cs="Times New Roman"/>
          <w:b w:val="false"/>
          <w:b w:val="false"/>
          <w:bCs w:val="false"/>
        </w:rPr>
      </w:pPr>
      <w:r>
        <w:rPr>
          <w:rFonts w:cs="Times New Roman" w:ascii="Times New Roman" w:hAnsi="Times New Roman"/>
          <w:b w:val="false"/>
          <w:bCs w:val="false"/>
        </w:rPr>
      </w:r>
    </w:p>
    <w:p>
      <w:pPr>
        <w:pStyle w:val="Normal"/>
        <w:rPr>
          <w:rFonts w:ascii="Times New Roman" w:hAnsi="Times New Roman" w:cs="Times New Roman"/>
          <w:b w:val="false"/>
          <w:b w:val="false"/>
          <w:bCs w:val="false"/>
        </w:rPr>
      </w:pPr>
      <w:r>
        <w:rPr>
          <w:rFonts w:cs="Times New Roman" w:ascii="Times New Roman" w:hAnsi="Times New Roman"/>
          <w:b w:val="false"/>
          <w:bCs w:val="false"/>
        </w:rPr>
        <w:t xml:space="preserve">What I have to say draws on the lived experience of conscientious objectors to military service from many countries </w:t>
      </w:r>
      <w:r>
        <w:rPr>
          <w:rFonts w:cs="Times New Roman" w:ascii="Times New Roman" w:hAnsi="Times New Roman"/>
          <w:b w:val="false"/>
          <w:bCs w:val="false"/>
        </w:rPr>
        <w:t>and addresses problems and good practice in relation to 4 key issues – law, procedures, attitudes and protection.</w:t>
      </w:r>
    </w:p>
    <w:p>
      <w:pPr>
        <w:pStyle w:val="Normal"/>
        <w:rPr>
          <w:rFonts w:ascii="Times New Roman" w:hAnsi="Times New Roman" w:cs="Times New Roman"/>
          <w:b w:val="false"/>
          <w:b w:val="false"/>
          <w:bCs w:val="false"/>
        </w:rPr>
      </w:pPr>
      <w:r>
        <w:rPr>
          <w:rFonts w:cs="Times New Roman" w:ascii="Times New Roman" w:hAnsi="Times New Roman"/>
          <w:b w:val="false"/>
          <w:bCs w:val="false"/>
        </w:rPr>
      </w:r>
    </w:p>
    <w:p>
      <w:pPr>
        <w:pStyle w:val="Normal"/>
        <w:rPr>
          <w:rFonts w:ascii="Times New Roman" w:hAnsi="Times New Roman" w:cs="Times New Roman"/>
          <w:b w:val="false"/>
          <w:b w:val="false"/>
          <w:bCs w:val="false"/>
        </w:rPr>
      </w:pPr>
      <w:r>
        <w:rPr>
          <w:rFonts w:cs="Times New Roman" w:ascii="Times New Roman" w:hAnsi="Times New Roman"/>
          <w:b w:val="false"/>
          <w:bCs w:val="false"/>
        </w:rPr>
        <w:t>First, the rulings from the courts in Colombia and the Republic of Korea are most welcome and deeply appreciated by the conscientious objectors in those countries.  But conscientious objectors should not need to bring court cases: conscientious objection to military service should be legally recognised as a right.</w:t>
      </w:r>
    </w:p>
    <w:p>
      <w:pPr>
        <w:pStyle w:val="Normal"/>
        <w:rPr>
          <w:rFonts w:ascii="Times New Roman" w:hAnsi="Times New Roman" w:cs="Times New Roman"/>
          <w:b w:val="false"/>
          <w:b w:val="false"/>
          <w:bCs w:val="false"/>
        </w:rPr>
      </w:pPr>
      <w:r>
        <w:rPr>
          <w:rFonts w:cs="Times New Roman" w:ascii="Times New Roman" w:hAnsi="Times New Roman"/>
          <w:b w:val="false"/>
          <w:bCs w:val="false"/>
        </w:rPr>
      </w:r>
    </w:p>
    <w:p>
      <w:pPr>
        <w:pStyle w:val="Normal"/>
        <w:rPr>
          <w:rFonts w:ascii="Times New Roman" w:hAnsi="Times New Roman" w:cs="Times New Roman"/>
          <w:b/>
          <w:b/>
          <w:bCs/>
        </w:rPr>
      </w:pPr>
      <w:r>
        <w:rPr>
          <w:rFonts w:cs="Times New Roman" w:ascii="Times New Roman" w:hAnsi="Times New Roman"/>
          <w:b/>
          <w:bCs/>
        </w:rPr>
        <w:t>1.</w:t>
        <w:tab/>
      </w:r>
      <w:r>
        <w:rPr>
          <w:rFonts w:cs="Times New Roman" w:ascii="Times New Roman" w:hAnsi="Times New Roman"/>
          <w:b/>
          <w:bCs/>
        </w:rPr>
        <w:t xml:space="preserve">Legal recognition of conscientious objection to military service </w:t>
      </w:r>
      <w:r>
        <w:rPr>
          <w:rFonts w:cs="Times New Roman" w:ascii="Times New Roman" w:hAnsi="Times New Roman"/>
          <w:b/>
          <w:bCs/>
        </w:rPr>
        <w:t xml:space="preserve">as a right </w:t>
      </w:r>
      <w:r>
        <w:rPr>
          <w:rFonts w:cs="Times New Roman" w:ascii="Times New Roman" w:hAnsi="Times New Roman"/>
          <w:b/>
          <w:bCs/>
        </w:rPr>
        <w:t>is necessary</w:t>
      </w:r>
    </w:p>
    <w:p>
      <w:pPr>
        <w:pStyle w:val="Normal"/>
        <w:rPr>
          <w:rFonts w:ascii="Times New Roman" w:hAnsi="Times New Roman" w:cs="Times New Roman"/>
          <w:b/>
          <w:b/>
          <w:bCs/>
        </w:rPr>
      </w:pPr>
      <w:r>
        <w:rPr>
          <w:rFonts w:cs="Times New Roman" w:ascii="Times New Roman" w:hAnsi="Times New Roman"/>
          <w:b/>
          <w:bCs/>
        </w:rPr>
      </w:r>
    </w:p>
    <w:p>
      <w:pPr>
        <w:pStyle w:val="Normal"/>
        <w:numPr>
          <w:ilvl w:val="0"/>
          <w:numId w:val="1"/>
        </w:numPr>
        <w:rPr>
          <w:rFonts w:ascii="Times New Roman" w:hAnsi="Times New Roman" w:cs="Times New Roman"/>
          <w:b w:val="false"/>
          <w:b w:val="false"/>
          <w:bCs w:val="false"/>
        </w:rPr>
      </w:pPr>
      <w:r>
        <w:rPr>
          <w:rFonts w:cs="Times New Roman" w:ascii="Times New Roman" w:hAnsi="Times New Roman"/>
          <w:b w:val="false"/>
          <w:bCs w:val="false"/>
        </w:rPr>
        <w:t>because it establishes that this is an individual human right;</w:t>
      </w:r>
    </w:p>
    <w:p>
      <w:pPr>
        <w:pStyle w:val="Normal"/>
        <w:numPr>
          <w:ilvl w:val="0"/>
          <w:numId w:val="2"/>
        </w:numPr>
        <w:rPr>
          <w:rFonts w:ascii="Times New Roman" w:hAnsi="Times New Roman" w:cs="Times New Roman"/>
          <w:b w:val="false"/>
          <w:b w:val="false"/>
          <w:bCs w:val="false"/>
        </w:rPr>
      </w:pPr>
      <w:r>
        <w:rPr>
          <w:rFonts w:cs="Times New Roman" w:ascii="Times New Roman" w:hAnsi="Times New Roman"/>
          <w:b w:val="false"/>
          <w:bCs w:val="false"/>
        </w:rPr>
        <w:t>applicable to all individuals;</w:t>
      </w:r>
    </w:p>
    <w:p>
      <w:pPr>
        <w:pStyle w:val="Normal"/>
        <w:numPr>
          <w:ilvl w:val="0"/>
          <w:numId w:val="2"/>
        </w:numPr>
        <w:rPr>
          <w:rFonts w:ascii="Times New Roman" w:hAnsi="Times New Roman" w:cs="Times New Roman"/>
          <w:b w:val="false"/>
          <w:b w:val="false"/>
          <w:bCs w:val="false"/>
        </w:rPr>
      </w:pPr>
      <w:r>
        <w:rPr>
          <w:rFonts w:cs="Times New Roman" w:ascii="Times New Roman" w:hAnsi="Times New Roman"/>
          <w:b w:val="false"/>
          <w:bCs w:val="false"/>
        </w:rPr>
        <w:t xml:space="preserve">at all times and in all circumstances, </w:t>
      </w:r>
      <w:r>
        <w:rPr>
          <w:rFonts w:cs="Times New Roman" w:ascii="Times New Roman" w:hAnsi="Times New Roman"/>
          <w:b w:val="false"/>
          <w:bCs w:val="false"/>
        </w:rPr>
        <w:t>including war-time/mobilisation</w:t>
      </w:r>
      <w:r>
        <w:rPr>
          <w:rFonts w:cs="Times New Roman" w:ascii="Times New Roman" w:hAnsi="Times New Roman"/>
          <w:b w:val="false"/>
          <w:bCs w:val="false"/>
        </w:rPr>
        <w:t xml:space="preserve"> </w:t>
      </w:r>
      <w:r>
        <w:rPr>
          <w:rFonts w:cs="Times New Roman" w:ascii="Times New Roman" w:hAnsi="Times New Roman"/>
          <w:b w:val="false"/>
          <w:bCs w:val="false"/>
        </w:rPr>
        <w:t xml:space="preserve">and is </w:t>
      </w:r>
      <w:r>
        <w:rPr>
          <w:rFonts w:cs="Times New Roman" w:ascii="Times New Roman" w:hAnsi="Times New Roman"/>
          <w:b w:val="false"/>
          <w:bCs w:val="false"/>
        </w:rPr>
        <w:t>non-derogable;</w:t>
      </w:r>
    </w:p>
    <w:p>
      <w:pPr>
        <w:pStyle w:val="Normal"/>
        <w:numPr>
          <w:ilvl w:val="0"/>
          <w:numId w:val="2"/>
        </w:numPr>
        <w:rPr>
          <w:rFonts w:ascii="Times New Roman" w:hAnsi="Times New Roman" w:cs="Times New Roman"/>
          <w:b w:val="false"/>
          <w:b w:val="false"/>
          <w:bCs w:val="false"/>
        </w:rPr>
      </w:pPr>
      <w:r>
        <w:rPr>
          <w:rFonts w:cs="Times New Roman" w:ascii="Times New Roman" w:hAnsi="Times New Roman"/>
          <w:b w:val="false"/>
          <w:bCs w:val="false"/>
        </w:rPr>
        <w:t xml:space="preserve">it </w:t>
      </w:r>
      <w:r>
        <w:rPr>
          <w:rFonts w:cs="Times New Roman" w:ascii="Times New Roman" w:hAnsi="Times New Roman"/>
          <w:b w:val="false"/>
          <w:bCs w:val="false"/>
        </w:rPr>
        <w:t>cannot form a legitimate basis for discrimination during or after its exercise;</w:t>
      </w:r>
    </w:p>
    <w:p>
      <w:pPr>
        <w:pStyle w:val="Normal"/>
        <w:numPr>
          <w:ilvl w:val="0"/>
          <w:numId w:val="2"/>
        </w:numPr>
        <w:rPr>
          <w:rFonts w:ascii="Times New Roman" w:hAnsi="Times New Roman" w:cs="Times New Roman"/>
          <w:b w:val="false"/>
          <w:b w:val="false"/>
          <w:bCs w:val="false"/>
        </w:rPr>
      </w:pPr>
      <w:r>
        <w:rPr>
          <w:rFonts w:cs="Times New Roman" w:ascii="Times New Roman" w:hAnsi="Times New Roman"/>
          <w:b w:val="false"/>
          <w:bCs w:val="false"/>
        </w:rPr>
        <w:t xml:space="preserve">clearly distinguishes it from group exemptions from military service, eg for clergy, and from the idea that it applies only to certain groups, </w:t>
      </w:r>
      <w:r>
        <w:rPr>
          <w:rFonts w:cs="Times New Roman" w:ascii="Times New Roman" w:hAnsi="Times New Roman"/>
          <w:b w:val="false"/>
          <w:bCs w:val="false"/>
        </w:rPr>
        <w:t>such as</w:t>
      </w:r>
      <w:r>
        <w:rPr>
          <w:rFonts w:cs="Times New Roman" w:ascii="Times New Roman" w:hAnsi="Times New Roman"/>
          <w:b w:val="false"/>
          <w:bCs w:val="false"/>
        </w:rPr>
        <w:t xml:space="preserve"> certain listed religious groups, </w:t>
      </w:r>
      <w:r>
        <w:rPr>
          <w:rFonts w:cs="Times New Roman" w:ascii="Times New Roman" w:hAnsi="Times New Roman"/>
          <w:b w:val="false"/>
          <w:bCs w:val="false"/>
        </w:rPr>
        <w:t>and/or</w:t>
      </w:r>
      <w:r>
        <w:rPr>
          <w:rFonts w:cs="Times New Roman" w:ascii="Times New Roman" w:hAnsi="Times New Roman"/>
          <w:b w:val="false"/>
          <w:bCs w:val="false"/>
        </w:rPr>
        <w:t xml:space="preserve"> religious groups which require pacifism of their members</w:t>
      </w:r>
      <w:r>
        <w:rPr>
          <w:rStyle w:val="FootnoteAnchor"/>
          <w:rFonts w:cs="Times New Roman" w:ascii="Times New Roman" w:hAnsi="Times New Roman"/>
          <w:b w:val="false"/>
          <w:bCs w:val="false"/>
        </w:rPr>
        <w:footnoteReference w:id="2"/>
      </w:r>
      <w:r>
        <w:rPr>
          <w:rFonts w:cs="Times New Roman" w:ascii="Times New Roman" w:hAnsi="Times New Roman"/>
          <w:b w:val="false"/>
          <w:bCs w:val="false"/>
        </w:rPr>
        <w:t>;</w:t>
      </w:r>
    </w:p>
    <w:p>
      <w:pPr>
        <w:pStyle w:val="Normal"/>
        <w:numPr>
          <w:ilvl w:val="0"/>
          <w:numId w:val="2"/>
        </w:numPr>
        <w:rPr>
          <w:rFonts w:ascii="Times New Roman" w:hAnsi="Times New Roman" w:cs="Times New Roman"/>
          <w:b w:val="false"/>
          <w:b w:val="false"/>
          <w:bCs w:val="false"/>
        </w:rPr>
      </w:pPr>
      <w:r>
        <w:rPr>
          <w:rFonts w:cs="Times New Roman" w:ascii="Times New Roman" w:hAnsi="Times New Roman"/>
          <w:b w:val="false"/>
          <w:bCs w:val="false"/>
        </w:rPr>
        <w:t xml:space="preserve">it </w:t>
      </w:r>
      <w:r>
        <w:rPr>
          <w:rFonts w:cs="Times New Roman" w:ascii="Times New Roman" w:hAnsi="Times New Roman"/>
          <w:b w:val="false"/>
          <w:bCs w:val="false"/>
        </w:rPr>
        <w:t xml:space="preserve">applies </w:t>
      </w:r>
      <w:r>
        <w:rPr>
          <w:rFonts w:cs="Times New Roman" w:ascii="Times New Roman" w:hAnsi="Times New Roman"/>
          <w:b w:val="false"/>
          <w:bCs w:val="false"/>
        </w:rPr>
        <w:t>t</w:t>
      </w:r>
      <w:r>
        <w:rPr>
          <w:rFonts w:cs="Times New Roman" w:ascii="Times New Roman" w:hAnsi="Times New Roman"/>
          <w:b w:val="false"/>
          <w:bCs w:val="false"/>
        </w:rPr>
        <w:t xml:space="preserve">o women </w:t>
      </w:r>
      <w:r>
        <w:rPr>
          <w:rFonts w:cs="Times New Roman" w:ascii="Times New Roman" w:hAnsi="Times New Roman"/>
          <w:b w:val="false"/>
          <w:bCs w:val="false"/>
        </w:rPr>
        <w:t>as well as</w:t>
      </w:r>
      <w:r>
        <w:rPr>
          <w:rFonts w:cs="Times New Roman" w:ascii="Times New Roman" w:hAnsi="Times New Roman"/>
          <w:b w:val="false"/>
          <w:bCs w:val="false"/>
        </w:rPr>
        <w:t xml:space="preserve"> men;</w:t>
      </w:r>
    </w:p>
    <w:p>
      <w:pPr>
        <w:pStyle w:val="Normal"/>
        <w:numPr>
          <w:ilvl w:val="0"/>
          <w:numId w:val="2"/>
        </w:numPr>
        <w:rPr>
          <w:rFonts w:ascii="Times New Roman" w:hAnsi="Times New Roman" w:cs="Times New Roman"/>
          <w:b w:val="false"/>
          <w:b w:val="false"/>
          <w:bCs w:val="false"/>
        </w:rPr>
      </w:pPr>
      <w:r>
        <w:rPr>
          <w:rFonts w:cs="Times New Roman" w:ascii="Times New Roman" w:hAnsi="Times New Roman"/>
          <w:b w:val="false"/>
          <w:bCs w:val="false"/>
        </w:rPr>
        <w:t xml:space="preserve">exclusion </w:t>
      </w:r>
      <w:r>
        <w:rPr>
          <w:rFonts w:cs="Times New Roman" w:ascii="Times New Roman" w:hAnsi="Times New Roman"/>
          <w:b w:val="false"/>
          <w:bCs w:val="false"/>
        </w:rPr>
        <w:t xml:space="preserve">from military service </w:t>
      </w:r>
      <w:r>
        <w:rPr>
          <w:rFonts w:cs="Times New Roman" w:ascii="Times New Roman" w:hAnsi="Times New Roman"/>
          <w:b w:val="false"/>
          <w:bCs w:val="false"/>
        </w:rPr>
        <w:t>on ground</w:t>
      </w:r>
      <w:r>
        <w:rPr>
          <w:rFonts w:cs="Times New Roman" w:ascii="Times New Roman" w:hAnsi="Times New Roman"/>
          <w:b w:val="false"/>
          <w:bCs w:val="false"/>
        </w:rPr>
        <w:t>s</w:t>
      </w:r>
      <w:r>
        <w:rPr>
          <w:rFonts w:cs="Times New Roman" w:ascii="Times New Roman" w:hAnsi="Times New Roman"/>
          <w:b w:val="false"/>
          <w:bCs w:val="false"/>
        </w:rPr>
        <w:t xml:space="preserve"> of</w:t>
      </w:r>
      <w:r>
        <w:rPr>
          <w:rFonts w:cs="Times New Roman" w:ascii="Times New Roman" w:hAnsi="Times New Roman"/>
          <w:b w:val="false"/>
          <w:bCs w:val="false"/>
        </w:rPr>
        <w:t xml:space="preserve"> sexual orientation, gender identity </w:t>
      </w:r>
      <w:r>
        <w:rPr>
          <w:rFonts w:cs="Times New Roman" w:ascii="Times New Roman" w:hAnsi="Times New Roman"/>
          <w:b w:val="false"/>
          <w:bCs w:val="false"/>
        </w:rPr>
        <w:t>or being intersex is not the same as recognition as conscientious objectors;</w:t>
      </w:r>
    </w:p>
    <w:p>
      <w:pPr>
        <w:pStyle w:val="Normal"/>
        <w:numPr>
          <w:ilvl w:val="0"/>
          <w:numId w:val="2"/>
        </w:numPr>
        <w:rPr>
          <w:rFonts w:ascii="Times New Roman" w:hAnsi="Times New Roman" w:cs="Times New Roman"/>
          <w:b w:val="false"/>
          <w:b w:val="false"/>
          <w:bCs w:val="false"/>
        </w:rPr>
      </w:pPr>
      <w:r>
        <w:rPr>
          <w:rFonts w:cs="Times New Roman" w:ascii="Times New Roman" w:hAnsi="Times New Roman"/>
          <w:b w:val="false"/>
          <w:bCs w:val="false"/>
        </w:rPr>
        <w:t xml:space="preserve">it </w:t>
      </w:r>
      <w:r>
        <w:rPr>
          <w:rFonts w:cs="Times New Roman" w:ascii="Times New Roman" w:hAnsi="Times New Roman"/>
          <w:b w:val="false"/>
          <w:bCs w:val="false"/>
        </w:rPr>
        <w:t xml:space="preserve">applies to conscripts, volunteers, </w:t>
      </w:r>
      <w:r>
        <w:rPr>
          <w:rFonts w:cs="Times New Roman" w:ascii="Times New Roman" w:hAnsi="Times New Roman"/>
          <w:b w:val="false"/>
          <w:bCs w:val="false"/>
        </w:rPr>
        <w:t xml:space="preserve">serving military personnel, </w:t>
      </w:r>
      <w:r>
        <w:rPr>
          <w:rFonts w:cs="Times New Roman" w:ascii="Times New Roman" w:hAnsi="Times New Roman"/>
          <w:b w:val="false"/>
          <w:bCs w:val="false"/>
        </w:rPr>
        <w:t xml:space="preserve">reservists and those outside the armed forces </w:t>
      </w:r>
      <w:r>
        <w:rPr>
          <w:rFonts w:cs="Times New Roman" w:ascii="Times New Roman" w:hAnsi="Times New Roman"/>
          <w:b w:val="false"/>
          <w:bCs w:val="false"/>
          <w:i/>
          <w:iCs/>
        </w:rPr>
        <w:t>per se</w:t>
      </w:r>
      <w:r>
        <w:rPr>
          <w:rFonts w:cs="Times New Roman" w:ascii="Times New Roman" w:hAnsi="Times New Roman"/>
          <w:b w:val="false"/>
          <w:bCs w:val="false"/>
        </w:rPr>
        <w:t xml:space="preserve">, </w:t>
      </w:r>
      <w:r>
        <w:rPr>
          <w:rFonts w:cs="Times New Roman" w:ascii="Times New Roman" w:hAnsi="Times New Roman"/>
          <w:b w:val="false"/>
          <w:bCs w:val="false"/>
        </w:rPr>
        <w:t xml:space="preserve">eg those who may find themselves engaged in the manufacture of weapons </w:t>
      </w:r>
      <w:r>
        <w:rPr>
          <w:rFonts w:cs="Times New Roman" w:ascii="Times New Roman" w:hAnsi="Times New Roman"/>
          <w:b w:val="false"/>
          <w:bCs w:val="false"/>
        </w:rPr>
        <w:t xml:space="preserve">or </w:t>
      </w:r>
      <w:r>
        <w:rPr>
          <w:rFonts w:cs="Times New Roman" w:ascii="Times New Roman" w:hAnsi="Times New Roman"/>
          <w:b w:val="false"/>
          <w:bCs w:val="false"/>
        </w:rPr>
        <w:t>weapons components</w:t>
      </w:r>
      <w:r>
        <w:rPr>
          <w:rStyle w:val="FootnoteAnchor"/>
          <w:rFonts w:cs="Times New Roman" w:ascii="Times New Roman" w:hAnsi="Times New Roman"/>
          <w:b w:val="false"/>
          <w:bCs w:val="false"/>
        </w:rPr>
        <w:footnoteReference w:id="3"/>
      </w:r>
      <w:r>
        <w:rPr>
          <w:rFonts w:cs="Times New Roman" w:ascii="Times New Roman" w:hAnsi="Times New Roman"/>
          <w:b w:val="false"/>
          <w:bCs w:val="false"/>
        </w:rPr>
        <w:t>;</w:t>
      </w:r>
    </w:p>
    <w:p>
      <w:pPr>
        <w:pStyle w:val="Normal"/>
        <w:numPr>
          <w:ilvl w:val="0"/>
          <w:numId w:val="2"/>
        </w:numPr>
        <w:rPr>
          <w:rFonts w:ascii="Times New Roman" w:hAnsi="Times New Roman" w:cs="Times New Roman"/>
          <w:b w:val="false"/>
          <w:b w:val="false"/>
          <w:bCs w:val="false"/>
        </w:rPr>
      </w:pPr>
      <w:r>
        <w:rPr>
          <w:rFonts w:cs="Times New Roman" w:ascii="Times New Roman" w:hAnsi="Times New Roman"/>
          <w:b w:val="false"/>
          <w:bCs w:val="false"/>
        </w:rPr>
        <w:t xml:space="preserve">it is </w:t>
      </w:r>
      <w:r>
        <w:rPr>
          <w:rFonts w:cs="Times New Roman" w:ascii="Times New Roman" w:hAnsi="Times New Roman"/>
          <w:b w:val="false"/>
          <w:bCs w:val="false"/>
        </w:rPr>
        <w:t>appl</w:t>
      </w:r>
      <w:r>
        <w:rPr>
          <w:rFonts w:cs="Times New Roman" w:ascii="Times New Roman" w:hAnsi="Times New Roman"/>
          <w:b w:val="false"/>
          <w:bCs w:val="false"/>
        </w:rPr>
        <w:t>icable</w:t>
      </w:r>
      <w:r>
        <w:rPr>
          <w:rFonts w:cs="Times New Roman" w:ascii="Times New Roman" w:hAnsi="Times New Roman"/>
          <w:b w:val="false"/>
          <w:bCs w:val="false"/>
        </w:rPr>
        <w:t xml:space="preserve"> to selective objectors, </w:t>
      </w:r>
      <w:r>
        <w:rPr>
          <w:rFonts w:cs="Times New Roman" w:ascii="Times New Roman" w:hAnsi="Times New Roman"/>
          <w:b w:val="false"/>
          <w:bCs w:val="false"/>
        </w:rPr>
        <w:t>ie</w:t>
      </w:r>
      <w:r>
        <w:rPr>
          <w:rFonts w:cs="Times New Roman" w:ascii="Times New Roman" w:hAnsi="Times New Roman"/>
          <w:b w:val="false"/>
          <w:bCs w:val="false"/>
        </w:rPr>
        <w:t xml:space="preserve"> </w:t>
      </w:r>
      <w:r>
        <w:rPr>
          <w:rFonts w:cs="Times New Roman" w:ascii="Times New Roman" w:hAnsi="Times New Roman"/>
          <w:b w:val="false"/>
          <w:bCs w:val="false"/>
        </w:rPr>
        <w:t>those</w:t>
      </w:r>
      <w:r>
        <w:rPr>
          <w:rFonts w:cs="Times New Roman" w:ascii="Times New Roman" w:hAnsi="Times New Roman"/>
          <w:b w:val="false"/>
          <w:bCs w:val="false"/>
        </w:rPr>
        <w:t xml:space="preserve"> not necessarily opposed to all wars </w:t>
      </w:r>
      <w:r>
        <w:rPr>
          <w:rFonts w:cs="Times New Roman" w:ascii="Times New Roman" w:hAnsi="Times New Roman"/>
          <w:b w:val="false"/>
          <w:bCs w:val="false"/>
        </w:rPr>
        <w:t>or use of armed force.</w:t>
      </w:r>
      <w:r>
        <w:rPr>
          <w:rStyle w:val="FootnoteAnchor"/>
          <w:rFonts w:cs="Times New Roman" w:ascii="Times New Roman" w:hAnsi="Times New Roman"/>
          <w:b w:val="false"/>
          <w:bCs w:val="false"/>
        </w:rPr>
        <w:footnoteReference w:id="4"/>
      </w:r>
    </w:p>
    <w:p>
      <w:pPr>
        <w:pStyle w:val="Normal"/>
        <w:numPr>
          <w:ilvl w:val="0"/>
          <w:numId w:val="2"/>
        </w:numPr>
        <w:rPr>
          <w:rFonts w:ascii="Times New Roman" w:hAnsi="Times New Roman" w:cs="Times New Roman"/>
          <w:b w:val="false"/>
          <w:b w:val="false"/>
          <w:bCs w:val="false"/>
        </w:rPr>
      </w:pPr>
      <w:r>
        <w:rPr>
          <w:rFonts w:cs="Times New Roman" w:ascii="Times New Roman" w:hAnsi="Times New Roman"/>
          <w:b w:val="false"/>
          <w:bCs w:val="false"/>
        </w:rPr>
        <w:t>p</w:t>
      </w:r>
      <w:r>
        <w:rPr>
          <w:rFonts w:cs="Times New Roman" w:ascii="Times New Roman" w:hAnsi="Times New Roman"/>
          <w:b w:val="false"/>
          <w:bCs w:val="false"/>
        </w:rPr>
        <w:t xml:space="preserve">rovision for alternative service or payment in lieu of military service is not </w:t>
      </w:r>
      <w:r>
        <w:rPr>
          <w:rFonts w:cs="Times New Roman" w:ascii="Times New Roman" w:hAnsi="Times New Roman"/>
          <w:b w:val="false"/>
          <w:bCs w:val="false"/>
        </w:rPr>
        <w:t xml:space="preserve">the same as recognition of conscientious objection as a right; </w:t>
      </w:r>
      <w:r>
        <w:rPr>
          <w:rFonts w:cs="Times New Roman" w:ascii="Times New Roman" w:hAnsi="Times New Roman"/>
          <w:b w:val="false"/>
          <w:bCs w:val="false"/>
        </w:rPr>
        <w:t>i</w:t>
      </w:r>
      <w:r>
        <w:rPr>
          <w:rFonts w:cs="Times New Roman" w:ascii="Times New Roman" w:hAnsi="Times New Roman"/>
          <w:b w:val="false"/>
          <w:bCs w:val="false"/>
        </w:rPr>
        <w:t>ndeed</w:t>
      </w:r>
      <w:r>
        <w:rPr>
          <w:rFonts w:cs="Times New Roman" w:ascii="Times New Roman" w:hAnsi="Times New Roman"/>
          <w:b w:val="false"/>
          <w:bCs w:val="false"/>
        </w:rPr>
        <w:t xml:space="preserve"> a</w:t>
      </w:r>
      <w:r>
        <w:rPr>
          <w:rFonts w:cs="Times New Roman" w:ascii="Times New Roman" w:hAnsi="Times New Roman"/>
          <w:b w:val="false"/>
          <w:bCs w:val="false"/>
        </w:rPr>
        <w:t xml:space="preserve">lternative service is not a requirement </w:t>
      </w:r>
      <w:r>
        <w:rPr>
          <w:rFonts w:cs="Times New Roman" w:ascii="Times New Roman" w:hAnsi="Times New Roman"/>
          <w:b w:val="false"/>
          <w:bCs w:val="false"/>
        </w:rPr>
        <w:t>even where there is conscription</w:t>
      </w:r>
      <w:r>
        <w:rPr>
          <w:rStyle w:val="FootnoteAnchor"/>
          <w:rFonts w:cs="Times New Roman" w:ascii="Times New Roman" w:hAnsi="Times New Roman"/>
          <w:b w:val="false"/>
          <w:bCs w:val="false"/>
        </w:rPr>
        <w:footnoteReference w:id="5"/>
      </w:r>
    </w:p>
    <w:p>
      <w:pPr>
        <w:pStyle w:val="Normal"/>
        <w:rPr>
          <w:rFonts w:ascii="Times New Roman" w:hAnsi="Times New Roman" w:cs="Times New Roman"/>
          <w:b w:val="false"/>
          <w:b w:val="false"/>
          <w:bCs w:val="false"/>
        </w:rPr>
      </w:pPr>
      <w:r>
        <w:rPr>
          <w:rFonts w:cs="Times New Roman" w:ascii="Times New Roman" w:hAnsi="Times New Roman"/>
          <w:b w:val="false"/>
          <w:bCs w:val="false"/>
        </w:rPr>
      </w:r>
    </w:p>
    <w:p>
      <w:pPr>
        <w:pStyle w:val="Normal"/>
        <w:rPr>
          <w:rFonts w:ascii="Times New Roman" w:hAnsi="Times New Roman" w:cs="Times New Roman"/>
          <w:b/>
          <w:b/>
          <w:bCs/>
        </w:rPr>
      </w:pPr>
      <w:r>
        <w:rPr>
          <w:rFonts w:cs="Times New Roman" w:ascii="Times New Roman" w:hAnsi="Times New Roman"/>
          <w:b w:val="false"/>
          <w:bCs w:val="false"/>
        </w:rPr>
        <w:t xml:space="preserve">Equally “buying out” provisions for members of the armed forces </w:t>
      </w:r>
      <w:r>
        <w:rPr>
          <w:rFonts w:cs="Times New Roman" w:ascii="Times New Roman" w:hAnsi="Times New Roman"/>
          <w:b w:val="false"/>
          <w:bCs w:val="false"/>
        </w:rPr>
        <w:t>to enable them to leave before the end of a contractual period</w:t>
      </w:r>
      <w:r>
        <w:rPr>
          <w:rFonts w:cs="Times New Roman" w:ascii="Times New Roman" w:hAnsi="Times New Roman"/>
          <w:b w:val="false"/>
          <w:bCs w:val="false"/>
        </w:rPr>
        <w:t xml:space="preserve"> are not the same as recognition as a conscientious objector.  </w:t>
      </w:r>
      <w:r>
        <w:rPr>
          <w:rFonts w:cs="Times New Roman" w:ascii="Times New Roman" w:hAnsi="Times New Roman"/>
          <w:b w:val="false"/>
          <w:bCs w:val="false"/>
        </w:rPr>
        <w:t>In addition, such provisions may not apply or may be suspended during times of war or mobilisation, when contracts may also be extended unilaterally by the authorities.</w:t>
      </w:r>
    </w:p>
    <w:p>
      <w:pPr>
        <w:pStyle w:val="Normal"/>
        <w:rPr>
          <w:rFonts w:ascii="Times New Roman" w:hAnsi="Times New Roman" w:cs="Times New Roman"/>
          <w:b w:val="false"/>
          <w:b w:val="false"/>
          <w:bCs w:val="false"/>
        </w:rPr>
      </w:pPr>
      <w:r>
        <w:rPr>
          <w:rFonts w:cs="Times New Roman" w:ascii="Times New Roman" w:hAnsi="Times New Roman"/>
          <w:b w:val="false"/>
          <w:bCs w:val="false"/>
        </w:rPr>
      </w:r>
    </w:p>
    <w:p>
      <w:pPr>
        <w:pStyle w:val="Normal"/>
        <w:rPr>
          <w:rFonts w:ascii="Times New Roman" w:hAnsi="Times New Roman" w:cs="Times New Roman"/>
          <w:b/>
          <w:b/>
          <w:bCs/>
        </w:rPr>
      </w:pPr>
      <w:r>
        <w:rPr>
          <w:rFonts w:cs="Times New Roman" w:ascii="Times New Roman" w:hAnsi="Times New Roman"/>
          <w:b/>
          <w:bCs/>
        </w:rPr>
        <w:t>2.</w:t>
        <w:tab/>
      </w:r>
      <w:r>
        <w:rPr>
          <w:rFonts w:cs="Times New Roman" w:ascii="Times New Roman" w:hAnsi="Times New Roman"/>
          <w:b/>
          <w:bCs/>
        </w:rPr>
        <w:t xml:space="preserve">Legal recognition is necessary but it is not sufficient.  </w:t>
      </w:r>
      <w:r>
        <w:rPr>
          <w:rFonts w:cs="Times New Roman" w:ascii="Times New Roman" w:hAnsi="Times New Roman"/>
          <w:b/>
          <w:bCs/>
        </w:rPr>
        <w:t xml:space="preserve">Making information readily available </w:t>
      </w:r>
      <w:r>
        <w:rPr>
          <w:rFonts w:cs="Times New Roman" w:ascii="Times New Roman" w:hAnsi="Times New Roman"/>
          <w:b/>
          <w:bCs/>
        </w:rPr>
        <w:t xml:space="preserve">and having procedures which enable the exercise of the right of conscientious objection </w:t>
      </w:r>
      <w:r>
        <w:rPr>
          <w:rFonts w:cs="Times New Roman" w:ascii="Times New Roman" w:hAnsi="Times New Roman"/>
          <w:b/>
          <w:bCs/>
        </w:rPr>
        <w:t xml:space="preserve">are </w:t>
      </w:r>
      <w:r>
        <w:rPr>
          <w:rFonts w:cs="Times New Roman" w:ascii="Times New Roman" w:hAnsi="Times New Roman"/>
          <w:b/>
          <w:bCs/>
        </w:rPr>
        <w:t xml:space="preserve">also </w:t>
      </w:r>
      <w:r>
        <w:rPr>
          <w:rFonts w:cs="Times New Roman" w:ascii="Times New Roman" w:hAnsi="Times New Roman"/>
          <w:b/>
          <w:bCs/>
        </w:rPr>
        <w:t>essential</w:t>
      </w:r>
    </w:p>
    <w:p>
      <w:pPr>
        <w:pStyle w:val="Normal"/>
        <w:rPr>
          <w:rFonts w:ascii="Times New Roman" w:hAnsi="Times New Roman" w:cs="Times New Roman"/>
          <w:b w:val="false"/>
          <w:b w:val="false"/>
          <w:bCs w:val="false"/>
        </w:rPr>
      </w:pPr>
      <w:r>
        <w:rPr>
          <w:rFonts w:cs="Times New Roman" w:ascii="Times New Roman" w:hAnsi="Times New Roman"/>
          <w:b w:val="false"/>
          <w:bCs w:val="false"/>
        </w:rPr>
      </w:r>
    </w:p>
    <w:p>
      <w:pPr>
        <w:pStyle w:val="Normal"/>
        <w:rPr>
          <w:rFonts w:ascii="Times New Roman" w:hAnsi="Times New Roman" w:cs="Times New Roman"/>
          <w:b w:val="false"/>
          <w:b w:val="false"/>
          <w:bCs w:val="false"/>
        </w:rPr>
      </w:pPr>
      <w:r>
        <w:rPr>
          <w:rFonts w:cs="Times New Roman" w:ascii="Times New Roman" w:hAnsi="Times New Roman"/>
          <w:b w:val="false"/>
          <w:bCs w:val="false"/>
        </w:rPr>
        <w:t>I</w:t>
      </w:r>
      <w:r>
        <w:rPr>
          <w:rFonts w:cs="Times New Roman" w:ascii="Times New Roman" w:hAnsi="Times New Roman"/>
          <w:b w:val="false"/>
          <w:bCs w:val="false"/>
        </w:rPr>
        <w:t xml:space="preserve">n themselves laws are not sufficient to enable the exercise of </w:t>
      </w:r>
      <w:r>
        <w:rPr>
          <w:rFonts w:cs="Times New Roman" w:ascii="Times New Roman" w:hAnsi="Times New Roman"/>
          <w:b w:val="false"/>
          <w:bCs w:val="false"/>
        </w:rPr>
        <w:t xml:space="preserve">the </w:t>
      </w:r>
      <w:r>
        <w:rPr>
          <w:rFonts w:cs="Times New Roman" w:ascii="Times New Roman" w:hAnsi="Times New Roman"/>
          <w:b w:val="false"/>
          <w:bCs w:val="false"/>
        </w:rPr>
        <w:t xml:space="preserve">right, information needs to be readily accessible – </w:t>
      </w:r>
      <w:r>
        <w:rPr>
          <w:rFonts w:cs="Times New Roman" w:ascii="Times New Roman" w:hAnsi="Times New Roman"/>
          <w:b w:val="false"/>
          <w:bCs w:val="false"/>
        </w:rPr>
        <w:t>both official information about the right, and any requirements or procedures</w:t>
      </w:r>
      <w:r>
        <w:rPr>
          <w:rStyle w:val="FootnoteAnchor"/>
          <w:rFonts w:cs="Times New Roman" w:ascii="Times New Roman" w:hAnsi="Times New Roman"/>
          <w:b w:val="false"/>
          <w:bCs w:val="false"/>
        </w:rPr>
        <w:footnoteReference w:id="6"/>
      </w:r>
      <w:r>
        <w:rPr>
          <w:rFonts w:cs="Times New Roman" w:ascii="Times New Roman" w:hAnsi="Times New Roman"/>
          <w:b w:val="false"/>
          <w:bCs w:val="false"/>
        </w:rPr>
        <w:t xml:space="preserve">, but also the provision of information by others including civil society organisations and other conscientious objectors.  </w:t>
      </w:r>
      <w:r>
        <w:rPr>
          <w:rFonts w:cs="Times New Roman" w:ascii="Times New Roman" w:hAnsi="Times New Roman"/>
          <w:b w:val="false"/>
          <w:bCs w:val="false"/>
        </w:rPr>
        <w:t xml:space="preserve">Making information about the possibility of being a conscientious objector, and how to apply, </w:t>
      </w:r>
      <w:r>
        <w:rPr>
          <w:rFonts w:cs="Times New Roman" w:ascii="Times New Roman" w:hAnsi="Times New Roman"/>
          <w:b w:val="false"/>
          <w:bCs w:val="false"/>
        </w:rPr>
        <w:t>difficult to access could</w:t>
      </w:r>
      <w:r>
        <w:rPr>
          <w:rFonts w:cs="Times New Roman" w:ascii="Times New Roman" w:hAnsi="Times New Roman"/>
          <w:b w:val="false"/>
          <w:bCs w:val="false"/>
        </w:rPr>
        <w:t xml:space="preserve"> be tantamount to denial of the right.</w:t>
      </w:r>
    </w:p>
    <w:p>
      <w:pPr>
        <w:pStyle w:val="Normal"/>
        <w:rPr>
          <w:rFonts w:ascii="Times New Roman" w:hAnsi="Times New Roman" w:cs="Times New Roman"/>
          <w:b w:val="false"/>
          <w:b w:val="false"/>
          <w:bCs w:val="false"/>
        </w:rPr>
      </w:pPr>
      <w:r>
        <w:rPr>
          <w:rFonts w:cs="Times New Roman" w:ascii="Times New Roman" w:hAnsi="Times New Roman"/>
          <w:b w:val="false"/>
          <w:bCs w:val="false"/>
        </w:rPr>
      </w:r>
    </w:p>
    <w:p>
      <w:pPr>
        <w:pStyle w:val="Normal"/>
        <w:rPr>
          <w:rFonts w:ascii="Times New Roman" w:hAnsi="Times New Roman" w:cs="Times New Roman"/>
          <w:b w:val="false"/>
          <w:b w:val="false"/>
          <w:bCs w:val="false"/>
        </w:rPr>
      </w:pPr>
      <w:r>
        <w:rPr>
          <w:rFonts w:cs="Times New Roman" w:ascii="Times New Roman" w:hAnsi="Times New Roman"/>
          <w:b w:val="false"/>
          <w:bCs w:val="false"/>
        </w:rPr>
        <w:t>P</w:t>
      </w:r>
      <w:r>
        <w:rPr>
          <w:rFonts w:cs="Times New Roman" w:ascii="Times New Roman" w:hAnsi="Times New Roman"/>
          <w:b w:val="false"/>
          <w:bCs w:val="false"/>
        </w:rPr>
        <w:t xml:space="preserve">rocedures need to be accessible, fair, transparent and reviewable – independent of the military, defence establishments and ministries – and free of cost, including for any documentation required to demonstrate that the individual has no outstanding military obligations in countries where this applies, and </w:t>
      </w:r>
      <w:r>
        <w:rPr>
          <w:rFonts w:cs="Times New Roman" w:ascii="Times New Roman" w:hAnsi="Times New Roman"/>
          <w:b w:val="false"/>
          <w:bCs w:val="false"/>
        </w:rPr>
        <w:t>such</w:t>
      </w:r>
      <w:r>
        <w:rPr>
          <w:rFonts w:cs="Times New Roman" w:ascii="Times New Roman" w:hAnsi="Times New Roman"/>
          <w:b w:val="false"/>
          <w:bCs w:val="false"/>
        </w:rPr>
        <w:t xml:space="preserve"> documentation must be in a form which does not lead to discrimination in law or practice, </w:t>
      </w:r>
      <w:r>
        <w:rPr>
          <w:rFonts w:cs="Times New Roman" w:ascii="Times New Roman" w:hAnsi="Times New Roman"/>
          <w:b w:val="false"/>
          <w:bCs w:val="false"/>
        </w:rPr>
        <w:t>for example in relation to employment.</w:t>
      </w:r>
      <w:r>
        <w:rPr>
          <w:rStyle w:val="FootnoteAnchor"/>
          <w:rFonts w:cs="Times New Roman" w:ascii="Times New Roman" w:hAnsi="Times New Roman"/>
          <w:b w:val="false"/>
          <w:bCs w:val="false"/>
        </w:rPr>
        <w:footnoteReference w:id="7"/>
      </w:r>
      <w:r>
        <w:rPr>
          <w:rFonts w:cs="Times New Roman" w:ascii="Times New Roman" w:hAnsi="Times New Roman"/>
          <w:b w:val="false"/>
          <w:bCs w:val="false"/>
        </w:rPr>
        <w:t xml:space="preserve">  </w:t>
      </w:r>
      <w:r>
        <w:rPr>
          <w:rFonts w:cs="Times New Roman" w:ascii="Times New Roman" w:hAnsi="Times New Roman"/>
          <w:b w:val="false"/>
          <w:bCs w:val="false"/>
        </w:rPr>
        <w:t xml:space="preserve">Using “mental health” </w:t>
      </w:r>
      <w:r>
        <w:rPr>
          <w:rFonts w:cs="Times New Roman" w:ascii="Times New Roman" w:hAnsi="Times New Roman"/>
          <w:b w:val="false"/>
          <w:bCs w:val="false"/>
        </w:rPr>
        <w:t xml:space="preserve">as </w:t>
      </w:r>
      <w:r>
        <w:rPr>
          <w:rFonts w:cs="Times New Roman" w:ascii="Times New Roman" w:hAnsi="Times New Roman"/>
          <w:b w:val="false"/>
          <w:bCs w:val="false"/>
        </w:rPr>
        <w:t xml:space="preserve">grounds for exclusion </w:t>
      </w:r>
      <w:r>
        <w:rPr>
          <w:rFonts w:cs="Times New Roman" w:ascii="Times New Roman" w:hAnsi="Times New Roman"/>
          <w:b w:val="false"/>
          <w:bCs w:val="false"/>
        </w:rPr>
        <w:t>or exemption from military service</w:t>
      </w:r>
      <w:r>
        <w:rPr>
          <w:rFonts w:cs="Times New Roman" w:ascii="Times New Roman" w:hAnsi="Times New Roman"/>
          <w:b w:val="false"/>
          <w:bCs w:val="false"/>
        </w:rPr>
        <w:t xml:space="preserve"> in lieu of recognising conscientious objection can also lead to discrimination.</w:t>
      </w:r>
    </w:p>
    <w:p>
      <w:pPr>
        <w:pStyle w:val="Normal"/>
        <w:rPr>
          <w:rFonts w:ascii="Times New Roman" w:hAnsi="Times New Roman" w:cs="Times New Roman"/>
          <w:b w:val="false"/>
          <w:b w:val="false"/>
          <w:bCs w:val="false"/>
        </w:rPr>
      </w:pPr>
      <w:r>
        <w:rPr>
          <w:rFonts w:cs="Times New Roman" w:ascii="Times New Roman" w:hAnsi="Times New Roman"/>
          <w:b w:val="false"/>
          <w:bCs w:val="false"/>
        </w:rPr>
      </w:r>
    </w:p>
    <w:p>
      <w:pPr>
        <w:pStyle w:val="Normal"/>
        <w:rPr>
          <w:rFonts w:ascii="Times New Roman" w:hAnsi="Times New Roman" w:cs="Times New Roman"/>
          <w:b/>
          <w:b/>
          <w:bCs/>
        </w:rPr>
      </w:pPr>
      <w:r>
        <w:rPr>
          <w:rFonts w:cs="Times New Roman" w:ascii="Times New Roman" w:hAnsi="Times New Roman"/>
          <w:b/>
          <w:bCs/>
        </w:rPr>
        <w:t>3</w:t>
      </w:r>
      <w:r>
        <w:rPr>
          <w:rFonts w:cs="Times New Roman" w:ascii="Times New Roman" w:hAnsi="Times New Roman"/>
          <w:b/>
          <w:bCs/>
        </w:rPr>
        <w:t>.</w:t>
        <w:tab/>
        <w:t>Addressing attitudes</w:t>
      </w:r>
    </w:p>
    <w:p>
      <w:pPr>
        <w:pStyle w:val="Normal"/>
        <w:numPr>
          <w:ilvl w:val="0"/>
          <w:numId w:val="0"/>
        </w:numPr>
        <w:ind w:left="720" w:hanging="0"/>
        <w:rPr>
          <w:rFonts w:ascii="Times New Roman" w:hAnsi="Times New Roman" w:cs="Times New Roman"/>
          <w:b w:val="false"/>
          <w:b w:val="false"/>
          <w:bCs w:val="false"/>
        </w:rPr>
      </w:pPr>
      <w:r>
        <w:rPr>
          <w:rFonts w:cs="Times New Roman" w:ascii="Times New Roman" w:hAnsi="Times New Roman"/>
          <w:b w:val="false"/>
          <w:bCs w:val="false"/>
        </w:rPr>
      </w:r>
    </w:p>
    <w:p>
      <w:pPr>
        <w:pStyle w:val="Normal"/>
        <w:rPr>
          <w:rFonts w:ascii="Times New Roman" w:hAnsi="Times New Roman" w:cs="Times New Roman"/>
          <w:b w:val="false"/>
          <w:b w:val="false"/>
          <w:bCs w:val="false"/>
        </w:rPr>
      </w:pPr>
      <w:r>
        <w:rPr>
          <w:rFonts w:cs="Times New Roman" w:ascii="Times New Roman" w:hAnsi="Times New Roman"/>
          <w:b w:val="false"/>
          <w:bCs w:val="false"/>
        </w:rPr>
        <w:t xml:space="preserve">Even when the law does not limit recognition of conscientious objection to certain specific groups </w:t>
      </w:r>
      <w:r>
        <w:rPr>
          <w:rFonts w:cs="Times New Roman" w:ascii="Times New Roman" w:hAnsi="Times New Roman"/>
          <w:b w:val="false"/>
          <w:bCs w:val="false"/>
        </w:rPr>
        <w:t>(eg</w:t>
      </w:r>
      <w:r>
        <w:rPr>
          <w:rFonts w:cs="Times New Roman" w:ascii="Times New Roman" w:hAnsi="Times New Roman"/>
          <w:b w:val="false"/>
          <w:bCs w:val="false"/>
        </w:rPr>
        <w:t xml:space="preserve"> listed religious groups or those requiring pacifism of their members</w:t>
      </w:r>
      <w:r>
        <w:rPr>
          <w:rFonts w:cs="Times New Roman" w:ascii="Times New Roman" w:hAnsi="Times New Roman"/>
          <w:b w:val="false"/>
          <w:bCs w:val="false"/>
        </w:rPr>
        <w:t>)</w:t>
      </w:r>
      <w:r>
        <w:rPr>
          <w:rFonts w:cs="Times New Roman" w:ascii="Times New Roman" w:hAnsi="Times New Roman"/>
          <w:b w:val="false"/>
          <w:bCs w:val="false"/>
        </w:rPr>
        <w:t xml:space="preserve"> recognition may </w:t>
      </w:r>
      <w:r>
        <w:rPr>
          <w:rFonts w:cs="Times New Roman" w:ascii="Times New Roman" w:hAnsi="Times New Roman"/>
          <w:b w:val="false"/>
          <w:bCs w:val="false"/>
          <w:i/>
          <w:iCs/>
        </w:rPr>
        <w:t>in practice</w:t>
      </w:r>
      <w:r>
        <w:rPr>
          <w:rFonts w:cs="Times New Roman" w:ascii="Times New Roman" w:hAnsi="Times New Roman"/>
          <w:b w:val="false"/>
          <w:bCs w:val="false"/>
        </w:rPr>
        <w:t xml:space="preserve"> be based on such assumptions.</w:t>
      </w:r>
      <w:r>
        <w:rPr>
          <w:rStyle w:val="FootnoteAnchor"/>
          <w:rFonts w:cs="Times New Roman" w:ascii="Times New Roman" w:hAnsi="Times New Roman"/>
          <w:b w:val="false"/>
          <w:bCs w:val="false"/>
        </w:rPr>
        <w:footnoteReference w:id="8"/>
      </w:r>
    </w:p>
    <w:p>
      <w:pPr>
        <w:pStyle w:val="Normal"/>
        <w:rPr>
          <w:rFonts w:ascii="Times New Roman" w:hAnsi="Times New Roman" w:cs="Times New Roman"/>
          <w:b w:val="false"/>
          <w:b w:val="false"/>
          <w:bCs w:val="false"/>
        </w:rPr>
      </w:pPr>
      <w:r>
        <w:rPr>
          <w:rFonts w:cs="Times New Roman" w:ascii="Times New Roman" w:hAnsi="Times New Roman"/>
          <w:b w:val="false"/>
          <w:bCs w:val="false"/>
        </w:rPr>
      </w:r>
    </w:p>
    <w:p>
      <w:pPr>
        <w:pStyle w:val="Normal"/>
        <w:rPr>
          <w:rFonts w:ascii="Times New Roman" w:hAnsi="Times New Roman" w:cs="Times New Roman"/>
          <w:b w:val="false"/>
          <w:b w:val="false"/>
          <w:bCs w:val="false"/>
        </w:rPr>
      </w:pPr>
      <w:r>
        <w:rPr>
          <w:rFonts w:cs="Times New Roman" w:ascii="Times New Roman" w:hAnsi="Times New Roman"/>
          <w:b w:val="false"/>
          <w:bCs w:val="false"/>
        </w:rPr>
        <w:t xml:space="preserve">Where recognition of conscientious objection is based on an individual assessment requiring justification, decision-makers may be influenced by assumptions about the nature of pacifism, eg not all </w:t>
      </w:r>
      <w:r>
        <w:rPr>
          <w:rFonts w:cs="Times New Roman" w:ascii="Times New Roman" w:hAnsi="Times New Roman"/>
          <w:b w:val="false"/>
          <w:bCs w:val="false"/>
        </w:rPr>
        <w:t xml:space="preserve">conscientious objectors are </w:t>
      </w:r>
      <w:r>
        <w:rPr>
          <w:rFonts w:cs="Times New Roman" w:ascii="Times New Roman" w:hAnsi="Times New Roman"/>
          <w:b w:val="false"/>
          <w:bCs w:val="false"/>
        </w:rPr>
        <w:t>vegetarian or vegan.</w:t>
      </w:r>
    </w:p>
    <w:p>
      <w:pPr>
        <w:pStyle w:val="Normal"/>
        <w:rPr>
          <w:rFonts w:ascii="Times New Roman" w:hAnsi="Times New Roman" w:cs="Times New Roman"/>
          <w:b w:val="false"/>
          <w:b w:val="false"/>
          <w:bCs w:val="false"/>
        </w:rPr>
      </w:pPr>
      <w:r>
        <w:rPr>
          <w:rFonts w:cs="Times New Roman" w:ascii="Times New Roman" w:hAnsi="Times New Roman"/>
          <w:b w:val="false"/>
          <w:bCs w:val="false"/>
        </w:rPr>
      </w:r>
    </w:p>
    <w:p>
      <w:pPr>
        <w:pStyle w:val="Normal"/>
        <w:rPr>
          <w:rFonts w:ascii="Times New Roman" w:hAnsi="Times New Roman" w:cs="Times New Roman"/>
          <w:b w:val="false"/>
          <w:b w:val="false"/>
          <w:bCs w:val="false"/>
        </w:rPr>
      </w:pPr>
      <w:r>
        <w:rPr>
          <w:rFonts w:cs="Times New Roman" w:ascii="Times New Roman" w:hAnsi="Times New Roman"/>
          <w:b w:val="false"/>
          <w:bCs w:val="false"/>
        </w:rPr>
        <w:t>Legal or procedural requirements also may bring in unfounded assumptions, eg the requirement that the applicant has never had a gun licence</w:t>
      </w:r>
      <w:r>
        <w:rPr>
          <w:rStyle w:val="FootnoteAnchor"/>
          <w:rFonts w:cs="Times New Roman" w:ascii="Times New Roman" w:hAnsi="Times New Roman"/>
          <w:b w:val="false"/>
          <w:bCs w:val="false"/>
        </w:rPr>
        <w:footnoteReference w:id="9"/>
      </w:r>
      <w:r>
        <w:rPr>
          <w:rFonts w:cs="Times New Roman" w:ascii="Times New Roman" w:hAnsi="Times New Roman"/>
          <w:b w:val="false"/>
          <w:bCs w:val="false"/>
        </w:rPr>
        <w:t xml:space="preserve">, </w:t>
      </w:r>
      <w:r>
        <w:rPr>
          <w:rFonts w:cs="Times New Roman" w:ascii="Times New Roman" w:hAnsi="Times New Roman"/>
          <w:b w:val="false"/>
          <w:bCs w:val="false"/>
        </w:rPr>
        <w:t xml:space="preserve">or </w:t>
      </w:r>
      <w:r>
        <w:rPr>
          <w:rFonts w:cs="Times New Roman" w:ascii="Times New Roman" w:hAnsi="Times New Roman"/>
          <w:b w:val="false"/>
          <w:bCs w:val="false"/>
        </w:rPr>
        <w:t xml:space="preserve">does not have a </w:t>
      </w:r>
      <w:r>
        <w:rPr>
          <w:rFonts w:cs="Times New Roman" w:ascii="Times New Roman" w:hAnsi="Times New Roman"/>
          <w:b w:val="false"/>
          <w:bCs w:val="false"/>
        </w:rPr>
        <w:t xml:space="preserve">criminal </w:t>
      </w:r>
      <w:r>
        <w:rPr>
          <w:rFonts w:cs="Times New Roman" w:ascii="Times New Roman" w:hAnsi="Times New Roman"/>
          <w:b w:val="false"/>
          <w:bCs w:val="false"/>
        </w:rPr>
        <w:t>record</w:t>
      </w:r>
      <w:r>
        <w:rPr>
          <w:rStyle w:val="FootnoteAnchor"/>
          <w:rFonts w:cs="Times New Roman" w:ascii="Times New Roman" w:hAnsi="Times New Roman"/>
          <w:b w:val="false"/>
          <w:bCs w:val="false"/>
        </w:rPr>
        <w:footnoteReference w:id="10"/>
      </w:r>
      <w:r>
        <w:rPr>
          <w:rFonts w:cs="Times New Roman" w:ascii="Times New Roman" w:hAnsi="Times New Roman"/>
          <w:b w:val="false"/>
          <w:bCs w:val="false"/>
        </w:rPr>
        <w:t>, neither of which are necessarily relevant to being a pacifist, a</w:t>
      </w:r>
      <w:r>
        <w:rPr>
          <w:rFonts w:cs="Times New Roman" w:ascii="Times New Roman" w:hAnsi="Times New Roman"/>
          <w:b w:val="false"/>
          <w:bCs w:val="false"/>
        </w:rPr>
        <w:t>s well as taking no account of possible changes in the applicant’s religion or beliefs.</w:t>
      </w:r>
    </w:p>
    <w:p>
      <w:pPr>
        <w:pStyle w:val="Normal"/>
        <w:rPr>
          <w:rFonts w:ascii="Times New Roman" w:hAnsi="Times New Roman" w:cs="Times New Roman"/>
          <w:b w:val="false"/>
          <w:b w:val="false"/>
          <w:bCs w:val="false"/>
        </w:rPr>
      </w:pPr>
      <w:r>
        <w:rPr>
          <w:rFonts w:cs="Times New Roman" w:ascii="Times New Roman" w:hAnsi="Times New Roman"/>
          <w:b w:val="false"/>
          <w:bCs w:val="false"/>
        </w:rPr>
      </w:r>
    </w:p>
    <w:p>
      <w:pPr>
        <w:pStyle w:val="Normal"/>
        <w:rPr>
          <w:rFonts w:ascii="Times New Roman" w:hAnsi="Times New Roman" w:cs="Times New Roman"/>
          <w:b w:val="false"/>
          <w:b w:val="false"/>
          <w:bCs w:val="false"/>
        </w:rPr>
      </w:pPr>
      <w:r>
        <w:rPr>
          <w:rFonts w:cs="Times New Roman" w:ascii="Times New Roman" w:hAnsi="Times New Roman"/>
          <w:b w:val="false"/>
          <w:bCs w:val="false"/>
        </w:rPr>
        <w:t xml:space="preserve">Good practice includes a simple form to complete or statement to make for acceptance.  </w:t>
      </w:r>
      <w:r>
        <w:rPr>
          <w:rFonts w:cs="Times New Roman" w:ascii="Times New Roman" w:hAnsi="Times New Roman"/>
          <w:b w:val="false"/>
          <w:bCs w:val="false"/>
        </w:rPr>
        <w:t xml:space="preserve">Experience from </w:t>
      </w:r>
      <w:r>
        <w:rPr>
          <w:rFonts w:cs="Times New Roman" w:ascii="Times New Roman" w:hAnsi="Times New Roman"/>
          <w:b w:val="false"/>
          <w:bCs w:val="false"/>
        </w:rPr>
        <w:t xml:space="preserve">such practices do not support the idea </w:t>
      </w:r>
      <w:r>
        <w:rPr>
          <w:rFonts w:cs="Times New Roman" w:ascii="Times New Roman" w:hAnsi="Times New Roman"/>
          <w:b w:val="false"/>
          <w:bCs w:val="false"/>
        </w:rPr>
        <w:t>that this would lead to</w:t>
      </w:r>
      <w:r>
        <w:rPr>
          <w:rFonts w:cs="Times New Roman" w:ascii="Times New Roman" w:hAnsi="Times New Roman"/>
          <w:b w:val="false"/>
          <w:bCs w:val="false"/>
        </w:rPr>
        <w:t xml:space="preserve"> mass </w:t>
      </w:r>
      <w:r>
        <w:rPr>
          <w:rFonts w:cs="Times New Roman" w:ascii="Times New Roman" w:hAnsi="Times New Roman"/>
          <w:b w:val="false"/>
          <w:bCs w:val="false"/>
        </w:rPr>
        <w:t>avoidance</w:t>
      </w:r>
      <w:r>
        <w:rPr>
          <w:rFonts w:cs="Times New Roman" w:ascii="Times New Roman" w:hAnsi="Times New Roman"/>
          <w:b w:val="false"/>
          <w:bCs w:val="false"/>
        </w:rPr>
        <w:t xml:space="preserve"> of military service.</w:t>
      </w:r>
      <w:r>
        <w:rPr>
          <w:rStyle w:val="FootnoteAnchor"/>
          <w:rFonts w:cs="Times New Roman" w:ascii="Times New Roman" w:hAnsi="Times New Roman"/>
          <w:b w:val="false"/>
          <w:bCs w:val="false"/>
        </w:rPr>
        <w:footnoteReference w:id="11"/>
      </w:r>
    </w:p>
    <w:p>
      <w:pPr>
        <w:pStyle w:val="Normal"/>
        <w:rPr>
          <w:rFonts w:ascii="Times New Roman" w:hAnsi="Times New Roman" w:cs="Times New Roman"/>
          <w:b w:val="false"/>
          <w:b w:val="false"/>
          <w:bCs w:val="false"/>
        </w:rPr>
      </w:pPr>
      <w:r>
        <w:rPr>
          <w:rFonts w:cs="Times New Roman" w:ascii="Times New Roman" w:hAnsi="Times New Roman"/>
          <w:b w:val="false"/>
          <w:bCs w:val="false"/>
        </w:rPr>
      </w:r>
    </w:p>
    <w:p>
      <w:pPr>
        <w:pStyle w:val="Normal"/>
        <w:rPr>
          <w:rFonts w:ascii="Times New Roman" w:hAnsi="Times New Roman" w:cs="Times New Roman"/>
          <w:b w:val="false"/>
          <w:b w:val="false"/>
          <w:bCs w:val="false"/>
        </w:rPr>
      </w:pPr>
      <w:r>
        <w:rPr>
          <w:rFonts w:cs="Times New Roman" w:ascii="Times New Roman" w:hAnsi="Times New Roman"/>
          <w:b/>
          <w:bCs/>
        </w:rPr>
        <w:t>4</w:t>
      </w:r>
      <w:r>
        <w:rPr>
          <w:rFonts w:cs="Times New Roman" w:ascii="Times New Roman" w:hAnsi="Times New Roman"/>
          <w:b/>
          <w:bCs/>
        </w:rPr>
        <w:t>.</w:t>
        <w:tab/>
        <w:t xml:space="preserve">Asylum </w:t>
      </w:r>
      <w:r>
        <w:rPr>
          <w:rFonts w:cs="Times New Roman" w:ascii="Times New Roman" w:hAnsi="Times New Roman"/>
          <w:b/>
          <w:bCs/>
        </w:rPr>
        <w:t xml:space="preserve">and </w:t>
      </w:r>
      <w:r>
        <w:rPr>
          <w:rFonts w:cs="Times New Roman" w:ascii="Times New Roman" w:hAnsi="Times New Roman"/>
          <w:b/>
          <w:bCs/>
        </w:rPr>
        <w:t>refugee status</w:t>
      </w:r>
      <w:r>
        <w:rPr>
          <w:rFonts w:cs="Times New Roman" w:ascii="Times New Roman" w:hAnsi="Times New Roman"/>
          <w:b w:val="false"/>
          <w:bCs w:val="false"/>
        </w:rPr>
        <w:t xml:space="preserve"> for unrecognised conscientious objectors, </w:t>
      </w:r>
      <w:r>
        <w:rPr>
          <w:rFonts w:cs="Times New Roman" w:ascii="Times New Roman" w:hAnsi="Times New Roman"/>
          <w:b w:val="false"/>
          <w:bCs w:val="false"/>
        </w:rPr>
        <w:t xml:space="preserve">including selective objectors </w:t>
      </w:r>
      <w:r>
        <w:rPr>
          <w:rFonts w:cs="Times New Roman" w:ascii="Times New Roman" w:hAnsi="Times New Roman"/>
          <w:b w:val="false"/>
          <w:bCs w:val="false"/>
        </w:rPr>
        <w:t>and those who become objectors after volunteering</w:t>
      </w:r>
      <w:r>
        <w:rPr>
          <w:rFonts w:cs="Times New Roman" w:ascii="Times New Roman" w:hAnsi="Times New Roman"/>
          <w:b w:val="false"/>
          <w:bCs w:val="false"/>
        </w:rPr>
        <w:t>,</w:t>
      </w:r>
      <w:r>
        <w:rPr>
          <w:rStyle w:val="FootnoteAnchor"/>
          <w:rFonts w:cs="Times New Roman" w:ascii="Times New Roman" w:hAnsi="Times New Roman"/>
          <w:b w:val="false"/>
          <w:bCs w:val="false"/>
        </w:rPr>
        <w:footnoteReference w:id="12"/>
      </w:r>
      <w:r>
        <w:rPr>
          <w:rFonts w:cs="Times New Roman" w:ascii="Times New Roman" w:hAnsi="Times New Roman"/>
          <w:b w:val="false"/>
          <w:bCs w:val="false"/>
        </w:rPr>
        <w:t xml:space="preserve"> </w:t>
      </w:r>
      <w:r>
        <w:rPr>
          <w:rFonts w:cs="Times New Roman" w:ascii="Times New Roman" w:hAnsi="Times New Roman"/>
          <w:b w:val="false"/>
          <w:bCs w:val="false"/>
        </w:rPr>
        <w:t xml:space="preserve">is an important safeguard </w:t>
      </w:r>
      <w:r>
        <w:rPr>
          <w:rFonts w:cs="Times New Roman" w:ascii="Times New Roman" w:hAnsi="Times New Roman"/>
          <w:b w:val="false"/>
          <w:bCs w:val="false"/>
        </w:rPr>
        <w:t xml:space="preserve">and requires States to ensure accurate and up-to-date information about </w:t>
      </w:r>
      <w:r>
        <w:rPr>
          <w:rFonts w:cs="Times New Roman" w:ascii="Times New Roman" w:hAnsi="Times New Roman"/>
          <w:b w:val="false"/>
          <w:bCs w:val="false"/>
          <w:i/>
          <w:iCs/>
        </w:rPr>
        <w:t>not only the law but the practice</w:t>
      </w:r>
      <w:r>
        <w:rPr>
          <w:rFonts w:cs="Times New Roman" w:ascii="Times New Roman" w:hAnsi="Times New Roman"/>
          <w:b w:val="false"/>
          <w:bCs w:val="false"/>
        </w:rPr>
        <w:t xml:space="preserve"> in the </w:t>
      </w:r>
      <w:r>
        <w:rPr>
          <w:rFonts w:cs="Times New Roman" w:ascii="Times New Roman" w:hAnsi="Times New Roman"/>
          <w:b w:val="false"/>
          <w:bCs w:val="false"/>
        </w:rPr>
        <w:t>Country</w:t>
      </w:r>
      <w:r>
        <w:rPr>
          <w:rFonts w:cs="Times New Roman" w:ascii="Times New Roman" w:hAnsi="Times New Roman"/>
          <w:b w:val="false"/>
          <w:bCs w:val="false"/>
        </w:rPr>
        <w:t xml:space="preserve"> of Origin of the asylum-seeker, </w:t>
      </w:r>
      <w:r>
        <w:rPr>
          <w:rFonts w:cs="Times New Roman" w:ascii="Times New Roman" w:hAnsi="Times New Roman"/>
          <w:b w:val="false"/>
          <w:bCs w:val="false"/>
        </w:rPr>
        <w:t>including changes due to mobilisation, war or emergency situation.</w:t>
      </w:r>
    </w:p>
    <w:p>
      <w:pPr>
        <w:pStyle w:val="Normal"/>
        <w:rPr>
          <w:rFonts w:ascii="Times New Roman" w:hAnsi="Times New Roman" w:cs="Times New Roman"/>
          <w:b w:val="false"/>
          <w:b w:val="false"/>
          <w:bCs w:val="false"/>
        </w:rPr>
      </w:pPr>
      <w:r>
        <w:rPr>
          <w:rFonts w:cs="Times New Roman" w:ascii="Times New Roman" w:hAnsi="Times New Roman"/>
          <w:b w:val="false"/>
          <w:bCs w:val="false"/>
        </w:rPr>
      </w:r>
    </w:p>
    <w:p>
      <w:pPr>
        <w:pStyle w:val="Normal"/>
        <w:rPr>
          <w:rFonts w:ascii="Times New Roman" w:hAnsi="Times New Roman" w:cs="Times New Roman"/>
          <w:b w:val="false"/>
          <w:b w:val="false"/>
          <w:bCs w:val="false"/>
        </w:rPr>
      </w:pPr>
      <w:r>
        <w:rPr>
          <w:rFonts w:cs="Times New Roman" w:ascii="Times New Roman" w:hAnsi="Times New Roman"/>
          <w:b/>
          <w:bCs/>
        </w:rPr>
        <w:t>Finally</w:t>
      </w:r>
      <w:r>
        <w:rPr>
          <w:rFonts w:cs="Times New Roman" w:ascii="Times New Roman" w:hAnsi="Times New Roman"/>
          <w:b w:val="false"/>
          <w:bCs w:val="false"/>
        </w:rPr>
        <w:t>, a reminder that in addition to the work of the Human Rights Committee</w:t>
      </w:r>
      <w:r>
        <w:rPr>
          <w:rStyle w:val="FootnoteAnchor"/>
          <w:rFonts w:cs="Times New Roman" w:ascii="Times New Roman" w:hAnsi="Times New Roman"/>
          <w:b w:val="false"/>
          <w:bCs w:val="false"/>
        </w:rPr>
        <w:footnoteReference w:id="13"/>
      </w:r>
      <w:r>
        <w:rPr>
          <w:rFonts w:cs="Times New Roman" w:ascii="Times New Roman" w:hAnsi="Times New Roman"/>
          <w:b w:val="false"/>
          <w:bCs w:val="false"/>
        </w:rPr>
        <w:t>, and the Special Rapporteur on Freedom of Religion and Belief</w:t>
      </w:r>
      <w:r>
        <w:rPr>
          <w:rStyle w:val="FootnoteAnchor"/>
          <w:rFonts w:cs="Times New Roman" w:ascii="Times New Roman" w:hAnsi="Times New Roman"/>
          <w:b w:val="false"/>
          <w:bCs w:val="false"/>
        </w:rPr>
        <w:footnoteReference w:id="14"/>
      </w:r>
      <w:r>
        <w:rPr>
          <w:rFonts w:cs="Times New Roman" w:ascii="Times New Roman" w:hAnsi="Times New Roman"/>
          <w:b w:val="false"/>
          <w:bCs w:val="false"/>
        </w:rPr>
        <w:t xml:space="preserve">, </w:t>
      </w:r>
      <w:r>
        <w:rPr>
          <w:rFonts w:cs="Times New Roman" w:ascii="Times New Roman" w:hAnsi="Times New Roman"/>
          <w:b w:val="false"/>
          <w:bCs w:val="false"/>
        </w:rPr>
        <w:t xml:space="preserve">and other Special Procedures, </w:t>
      </w:r>
      <w:r>
        <w:rPr>
          <w:rFonts w:cs="Times New Roman" w:ascii="Times New Roman" w:hAnsi="Times New Roman"/>
          <w:b w:val="false"/>
          <w:bCs w:val="false"/>
        </w:rPr>
        <w:t xml:space="preserve">the Human Rights Council has adopted a series of </w:t>
      </w:r>
      <w:r>
        <w:rPr>
          <w:rFonts w:cs="Times New Roman" w:ascii="Times New Roman" w:hAnsi="Times New Roman"/>
          <w:b w:val="false"/>
          <w:bCs w:val="false"/>
        </w:rPr>
        <w:t xml:space="preserve">consensus </w:t>
      </w:r>
      <w:r>
        <w:rPr>
          <w:rFonts w:cs="Times New Roman" w:ascii="Times New Roman" w:hAnsi="Times New Roman"/>
          <w:b w:val="false"/>
          <w:bCs w:val="false"/>
        </w:rPr>
        <w:t xml:space="preserve">resolutions recognising conscientious objection as a right, </w:t>
      </w:r>
      <w:r>
        <w:rPr>
          <w:rFonts w:cs="Times New Roman" w:ascii="Times New Roman" w:hAnsi="Times New Roman"/>
          <w:b w:val="false"/>
          <w:bCs w:val="false"/>
        </w:rPr>
        <w:t>as had its predecessor, the Commission on Human Rights,</w:t>
      </w:r>
      <w:r>
        <w:rPr>
          <w:rFonts w:cs="Times New Roman" w:ascii="Times New Roman" w:hAnsi="Times New Roman"/>
          <w:b w:val="false"/>
          <w:bCs w:val="false"/>
        </w:rPr>
        <w:t xml:space="preserve"> </w:t>
      </w:r>
      <w:r>
        <w:rPr>
          <w:rFonts w:cs="Times New Roman" w:ascii="Times New Roman" w:hAnsi="Times New Roman"/>
          <w:b w:val="false"/>
          <w:bCs w:val="false"/>
        </w:rPr>
        <w:t>evidencing the political/governmental support for this right.</w:t>
      </w:r>
    </w:p>
    <w:p>
      <w:pPr>
        <w:pStyle w:val="Normal"/>
        <w:rPr>
          <w:rFonts w:ascii="Times New Roman" w:hAnsi="Times New Roman" w:cs="Times New Roman"/>
          <w:b w:val="false"/>
          <w:b w:val="false"/>
          <w:bCs w:val="false"/>
        </w:rPr>
      </w:pPr>
      <w:r>
        <w:rPr>
          <w:rFonts w:cs="Times New Roman" w:ascii="Times New Roman" w:hAnsi="Times New Roman"/>
          <w:b w:val="false"/>
          <w:bCs w:val="false"/>
        </w:rPr>
      </w:r>
    </w:p>
    <w:p>
      <w:pPr>
        <w:pStyle w:val="Normal"/>
        <w:jc w:val="center"/>
        <w:rPr>
          <w:rFonts w:ascii="Times New Roman" w:hAnsi="Times New Roman" w:cs="Times New Roman"/>
          <w:b w:val="false"/>
          <w:b w:val="false"/>
          <w:bCs w:val="false"/>
        </w:rPr>
      </w:pPr>
      <w:r>
        <w:rPr>
          <w:rFonts w:cs="Times New Roman" w:ascii="Times New Roman" w:hAnsi="Times New Roman"/>
          <w:b w:val="false"/>
          <w:bCs w:val="false"/>
        </w:rPr>
        <w:t>----------------</w:t>
      </w:r>
    </w:p>
    <w:sectPr>
      <w:footnotePr>
        <w:numFmt w:val="decimal"/>
      </w:footnotePr>
      <w:type w:val="nextPage"/>
      <w:pgSz w:w="11906" w:h="16838"/>
      <w:pgMar w:left="1134" w:right="1134" w:gutter="0" w:header="0" w:top="1134" w:footer="0" w:bottom="1134"/>
      <w:pgNumType w:fmt="decimal"/>
      <w:formProt w:val="false"/>
      <w:textDirection w:val="lrTb"/>
      <w:docGrid w:type="default" w:linePitch="312"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2"/>
    <w:family w:val="auto"/>
    <w:pitch w:val="default"/>
  </w:font>
  <w:font w:name="Liberation Sans">
    <w:altName w:val="Arial"/>
    <w:charset w:val="00"/>
    <w:family w:val="swiss"/>
    <w:pitch w:val="variable"/>
  </w:font>
  <w:font w:name="Symbol">
    <w:charset w:val="02"/>
    <w:family w:val="auto"/>
    <w:pitch w:val="default"/>
  </w:font>
  <w:font w:name="OpenSymbol">
    <w:altName w:val="Arial Unicode MS"/>
    <w:charset w:val="01"/>
    <w:family w:val="auto"/>
    <w:pitch w:val="default"/>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
        <w:rPr/>
      </w:pPr>
      <w:r>
        <w:rPr>
          <w:rStyle w:val="FootnoteCharacters"/>
        </w:rPr>
        <w:footnoteRef/>
      </w:r>
      <w:r>
        <w:rPr/>
        <w:tab/>
        <w:t xml:space="preserve">Eg </w:t>
      </w:r>
      <w:r>
        <w:rPr/>
        <w:t xml:space="preserve">CCPR/C/KGZ/CO/2, para.23; </w:t>
      </w:r>
      <w:r>
        <w:rPr/>
        <w:t xml:space="preserve">CCPR/C/BLR/CO/5, para.47, </w:t>
      </w:r>
      <w:r>
        <w:rPr/>
        <w:t>Ukraine</w:t>
      </w:r>
    </w:p>
  </w:footnote>
  <w:footnote w:id="3">
    <w:p>
      <w:pPr>
        <w:pStyle w:val="Footnote"/>
        <w:rPr/>
      </w:pPr>
      <w:r>
        <w:rPr>
          <w:rStyle w:val="FootnoteCharacters"/>
        </w:rPr>
        <w:footnoteRef/>
      </w:r>
      <w:r>
        <w:rPr/>
        <w:tab/>
        <w:t xml:space="preserve">Women were conscripted in the UK in World War 2 including to work in munitions factories and </w:t>
      </w:r>
      <w:r>
        <w:rPr/>
        <w:t>1,000</w:t>
      </w:r>
      <w:r>
        <w:rPr/>
        <w:t xml:space="preserve"> claimed conscientious objector status.</w:t>
      </w:r>
    </w:p>
  </w:footnote>
  <w:footnote w:id="4">
    <w:p>
      <w:pPr>
        <w:pStyle w:val="Footnote"/>
        <w:rPr/>
      </w:pPr>
      <w:r>
        <w:rPr>
          <w:rStyle w:val="FootnoteCharacters"/>
        </w:rPr>
        <w:footnoteRef/>
      </w:r>
      <w:r>
        <w:rPr/>
        <w:tab/>
        <w:t xml:space="preserve">UN General Assembly resolution 33/165 of December 1978 on “Status of persons refusing service in military or police forces used to enforce </w:t>
      </w:r>
      <w:r>
        <w:rPr>
          <w:i/>
          <w:iCs/>
        </w:rPr>
        <w:t>apartheid</w:t>
      </w:r>
      <w:r>
        <w:rPr/>
        <w:t>”</w:t>
      </w:r>
      <w:r>
        <w:rPr/>
        <w:t xml:space="preserve">; Norway </w:t>
      </w:r>
      <w:r>
        <w:rPr/>
        <w:t xml:space="preserve">specifically accepts </w:t>
      </w:r>
      <w:r>
        <w:rPr/>
        <w:t xml:space="preserve">objection to </w:t>
      </w:r>
      <w:r>
        <w:rPr/>
        <w:t xml:space="preserve">the </w:t>
      </w:r>
      <w:r>
        <w:rPr/>
        <w:t xml:space="preserve">use of weapons </w:t>
      </w:r>
      <w:r>
        <w:rPr/>
        <w:t xml:space="preserve">of mass destruction </w:t>
      </w:r>
      <w:r>
        <w:rPr/>
        <w:t xml:space="preserve">as grounds for conscientious objection; </w:t>
      </w:r>
      <w:r>
        <w:rPr/>
        <w:t>cases of selective objectors have been taken up by the Working Group on Arbitrary Detention and the Special Rapporteur on Freedom of Religion and Belief</w:t>
      </w:r>
    </w:p>
  </w:footnote>
  <w:footnote w:id="5">
    <w:p>
      <w:pPr>
        <w:pStyle w:val="Footnote"/>
        <w:rPr/>
      </w:pPr>
      <w:r>
        <w:rPr>
          <w:rStyle w:val="FootnoteCharacters"/>
        </w:rPr>
        <w:footnoteRef/>
      </w:r>
      <w:r>
        <w:rPr/>
        <w:tab/>
        <w:t>Alternative service for</w:t>
      </w:r>
      <w:r>
        <w:rPr/>
        <w:t xml:space="preserve"> conscientious objectors </w:t>
      </w:r>
      <w:r>
        <w:rPr/>
        <w:t xml:space="preserve">was suspended in 2011 </w:t>
      </w:r>
      <w:r>
        <w:rPr/>
        <w:t xml:space="preserve">in Norway </w:t>
      </w:r>
      <w:r>
        <w:rPr/>
        <w:t>which means that they are simply exempted from military service</w:t>
      </w:r>
      <w:r>
        <w:rPr/>
        <w:t xml:space="preserve">, </w:t>
      </w:r>
      <w:r>
        <w:rPr/>
        <w:t xml:space="preserve">Friendly Settlement in </w:t>
      </w:r>
      <w:r>
        <w:rPr>
          <w:i/>
          <w:iCs/>
        </w:rPr>
        <w:t>Alfredo Diaz Bustos v Bolivia,</w:t>
      </w:r>
      <w:r>
        <w:rPr/>
        <w:t xml:space="preserve"> Case 14/04, Report No. 97/05, Inter-Am. C.H.R., OEA/Ser.L/V/II.124 Doc.5 (2005).</w:t>
      </w:r>
      <w:r>
        <w:rPr>
          <w:shd w:fill="auto" w:val="clear"/>
        </w:rPr>
        <w:t xml:space="preserve">  T</w:t>
      </w:r>
      <w:r>
        <w:rPr/>
        <w:t>his avoids the problem Finland has with absolute objectors.</w:t>
      </w:r>
    </w:p>
  </w:footnote>
  <w:footnote w:id="6">
    <w:p>
      <w:pPr>
        <w:pStyle w:val="Footnote"/>
        <w:rPr/>
      </w:pPr>
      <w:r>
        <w:rPr>
          <w:rStyle w:val="FootnoteCharacters"/>
        </w:rPr>
        <w:footnoteRef/>
      </w:r>
      <w:r>
        <w:rPr/>
        <w:tab/>
        <w:t>Denmark sends out information with the call-up papers</w:t>
      </w:r>
    </w:p>
  </w:footnote>
  <w:footnote w:id="7">
    <w:p>
      <w:pPr>
        <w:pStyle w:val="Footnote"/>
        <w:rPr/>
      </w:pPr>
      <w:r>
        <w:rPr>
          <w:rStyle w:val="FootnoteCharacters"/>
        </w:rPr>
        <w:footnoteRef/>
      </w:r>
      <w:r>
        <w:rPr/>
        <w:tab/>
        <w:t xml:space="preserve">Positive decision from Hellenic Data Protection Authority in January 2022 quoted in Michael Wiener and David Fernandez Puyana (eds), </w:t>
      </w:r>
      <w:r>
        <w:rPr>
          <w:i/>
          <w:iCs/>
        </w:rPr>
        <w:t>A Missing Piece for Peace</w:t>
      </w:r>
      <w:r>
        <w:rPr/>
        <w:t>, pp162-163</w:t>
      </w:r>
    </w:p>
  </w:footnote>
  <w:footnote w:id="8">
    <w:p>
      <w:pPr>
        <w:pStyle w:val="Footnote"/>
        <w:rPr/>
      </w:pPr>
      <w:r>
        <w:rPr>
          <w:rStyle w:val="FootnoteCharacters"/>
        </w:rPr>
        <w:footnoteRef/>
      </w:r>
      <w:r>
        <w:rPr/>
        <w:tab/>
        <w:t>“</w:t>
      </w:r>
      <w:r>
        <w:rPr/>
        <w:t>Greece: A Victory for Transparency Reveals Zero Recognition of COs on Ideological Grounds.  Serious Deterioration for COs Intensifies” (</w:t>
      </w:r>
      <w:r>
        <w:rPr>
          <w:i/>
          <w:iCs/>
        </w:rPr>
        <w:t>War Resisters’ International</w:t>
      </w:r>
      <w:r>
        <w:rPr/>
        <w:t>, 1 August 2022), https://wri-irg.org/en/story/2022/greece-victory-transparency-reveals-zero-recognition-cos-ideological-grounds-serious</w:t>
      </w:r>
    </w:p>
  </w:footnote>
  <w:footnote w:id="9">
    <w:p>
      <w:pPr>
        <w:pStyle w:val="Footnote"/>
        <w:rPr/>
      </w:pPr>
      <w:r>
        <w:rPr>
          <w:rStyle w:val="FootnoteCharacters"/>
        </w:rPr>
        <w:footnoteRef/>
      </w:r>
      <w:r>
        <w:rPr/>
        <w:tab/>
        <w:t>Eg Greece</w:t>
      </w:r>
    </w:p>
  </w:footnote>
  <w:footnote w:id="10">
    <w:p>
      <w:pPr>
        <w:pStyle w:val="Footnote"/>
        <w:rPr/>
      </w:pPr>
      <w:r>
        <w:rPr>
          <w:rStyle w:val="FootnoteCharacters"/>
        </w:rPr>
        <w:footnoteRef/>
      </w:r>
      <w:r>
        <w:rPr/>
        <w:tab/>
        <w:t>Austria, Greece</w:t>
      </w:r>
    </w:p>
  </w:footnote>
  <w:footnote w:id="11">
    <w:p>
      <w:pPr>
        <w:pStyle w:val="Footnote"/>
        <w:rPr/>
      </w:pPr>
      <w:r>
        <w:rPr>
          <w:rStyle w:val="FootnoteCharacters"/>
        </w:rPr>
        <w:footnoteRef/>
      </w:r>
      <w:r>
        <w:rPr/>
        <w:tab/>
        <w:t xml:space="preserve">Austria </w:t>
      </w:r>
      <w:r>
        <w:rPr/>
        <w:t>since 1991</w:t>
      </w:r>
      <w:r>
        <w:rPr/>
        <w:t xml:space="preserve">, </w:t>
      </w:r>
      <w:r>
        <w:rPr/>
        <w:t>Norway since 2001, Switzerland since 2009</w:t>
      </w:r>
    </w:p>
  </w:footnote>
  <w:footnote w:id="12">
    <w:p>
      <w:pPr>
        <w:pStyle w:val="Footnote"/>
        <w:rPr/>
      </w:pPr>
      <w:r>
        <w:rPr>
          <w:rStyle w:val="FootnoteCharacters"/>
        </w:rPr>
        <w:footnoteRef/>
      </w:r>
      <w:r>
        <w:rPr/>
        <w:tab/>
        <w:t>UNHCR Guidelines on International Protection No. 10: Claims to Refugee Status related to Military Service</w:t>
      </w:r>
    </w:p>
  </w:footnote>
  <w:footnote w:id="13">
    <w:p>
      <w:pPr>
        <w:pStyle w:val="Footnote"/>
        <w:rPr/>
      </w:pPr>
      <w:r>
        <w:rPr>
          <w:rStyle w:val="FootnoteCharacters"/>
        </w:rPr>
        <w:footnoteRef/>
      </w:r>
      <w:r>
        <w:rPr/>
        <w:tab/>
        <w:t xml:space="preserve">CEDAW has also recognised conscientious objection to military service </w:t>
      </w:r>
      <w:r>
        <w:rPr/>
        <w:t>(</w:t>
      </w:r>
      <w:r>
        <w:rPr/>
        <w:t>CEDAW/C/ERI/CO/6, para. 11</w:t>
      </w:r>
      <w:r>
        <w:rPr/>
        <w:t>)</w:t>
      </w:r>
      <w:r>
        <w:rPr/>
        <w:t>.</w:t>
      </w:r>
    </w:p>
  </w:footnote>
  <w:footnote w:id="14">
    <w:p>
      <w:pPr>
        <w:pStyle w:val="Footnote"/>
        <w:rPr/>
      </w:pPr>
      <w:r>
        <w:rPr>
          <w:rStyle w:val="FootnoteCharacters"/>
        </w:rPr>
        <w:footnoteRef/>
      </w:r>
      <w:r>
        <w:rPr/>
        <w:tab/>
        <w:t xml:space="preserve">The Working Group on Arbitrary Detention has also recognised conscientious objection to military service, </w:t>
      </w:r>
      <w:r>
        <w:rPr/>
        <w:t>as well as other thematic and country specific Special Procedures</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40"/>
  <w:defaultTabStop w:val="709"/>
  <w:autoHyphenation w:val="true"/>
  <w:footnotePr>
    <w:numFmt w:val="decimal"/>
    <w:footnote w:id="0"/>
    <w:footnote w:id="1"/>
  </w:footnotePr>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GB" w:eastAsia="zh-CN" w:bidi="hi-IN"/>
      </w:rPr>
    </w:rPrDefault>
    <w:pPrDefault>
      <w:pPr>
        <w:widowControl/>
        <w:suppressAutoHyphens w:val="true"/>
      </w:pPr>
    </w:pPrDefault>
  </w:docDefaults>
  <w:style w:type="paragraph" w:styleId="Normal">
    <w:name w:val="Normal"/>
    <w:qFormat/>
    <w:pPr>
      <w:widowControl/>
      <w:kinsoku w:val="true"/>
      <w:overflowPunct w:val="true"/>
      <w:autoSpaceDE w:val="true"/>
      <w:bidi w:val="0"/>
    </w:pPr>
    <w:rPr>
      <w:rFonts w:ascii="Liberation Serif" w:hAnsi="Liberation Serif" w:eastAsia="NSimSun" w:cs="Lucida Sans"/>
      <w:color w:val="auto"/>
      <w:kern w:val="2"/>
      <w:sz w:val="24"/>
      <w:szCs w:val="24"/>
      <w:lang w:val="en-GB" w:eastAsia="zh-CN" w:bidi="hi-IN"/>
    </w:rPr>
  </w:style>
  <w:style w:type="character" w:styleId="UnresolvedMention">
    <w:name w:val="Unresolved Mention"/>
    <w:qFormat/>
    <w:rPr>
      <w:color w:val="605E5C"/>
      <w:shd w:fill="E1DFDD" w:val="clear"/>
    </w:rPr>
  </w:style>
  <w:style w:type="character" w:styleId="FooterChar">
    <w:name w:val="Footer Char"/>
    <w:qFormat/>
    <w:rPr/>
  </w:style>
  <w:style w:type="character" w:styleId="HeaderChar">
    <w:name w:val="Header Char"/>
    <w:qFormat/>
    <w:rPr/>
  </w:style>
  <w:style w:type="character" w:styleId="CommentSubjectChar">
    <w:name w:val="Comment Subject Char"/>
    <w:qFormat/>
    <w:rPr>
      <w:b/>
      <w:bCs/>
      <w:sz w:val="20"/>
      <w:szCs w:val="20"/>
    </w:rPr>
  </w:style>
  <w:style w:type="character" w:styleId="CommentTextChar">
    <w:name w:val="Comment Text Char"/>
    <w:qFormat/>
    <w:rPr>
      <w:sz w:val="20"/>
      <w:szCs w:val="20"/>
    </w:rPr>
  </w:style>
  <w:style w:type="character" w:styleId="Annotationreference">
    <w:name w:val="annotation reference"/>
    <w:qFormat/>
    <w:rPr>
      <w:sz w:val="16"/>
      <w:szCs w:val="16"/>
    </w:rPr>
  </w:style>
  <w:style w:type="character" w:styleId="FootnoteTextChar">
    <w:name w:val="Footnote Text Char"/>
    <w:qFormat/>
    <w:rPr>
      <w:sz w:val="20"/>
      <w:szCs w:val="20"/>
    </w:rPr>
  </w:style>
  <w:style w:type="character" w:styleId="DefaultParagraphFont">
    <w:name w:val="Default Paragraph Font"/>
    <w:qFormat/>
    <w:rPr/>
  </w:style>
  <w:style w:type="character" w:styleId="InternetLink">
    <w:name w:val="Hyperlink"/>
    <w:rPr>
      <w:color w:val="000080"/>
      <w:u w:val="single"/>
      <w:lang w:val="zxx" w:eastAsia="zxx" w:bidi="zxx"/>
    </w:rPr>
  </w:style>
  <w:style w:type="character" w:styleId="Bullets">
    <w:name w:val="Bullets"/>
    <w:qFormat/>
    <w:rPr>
      <w:rFonts w:ascii="OpenSymbol" w:hAnsi="OpenSymbol" w:eastAsia="OpenSymbol" w:cs="OpenSymbol"/>
    </w:rPr>
  </w:style>
  <w:style w:type="character" w:styleId="FootnoteAnchor">
    <w:name w:val="Footnote Anchor"/>
    <w:rPr>
      <w:vertAlign w:val="superscript"/>
    </w:rPr>
  </w:style>
  <w:style w:type="character" w:styleId="FootnoteCharacters">
    <w:name w:val="Footnote Characters"/>
    <w:qFormat/>
    <w:rPr/>
  </w:style>
  <w:style w:type="character" w:styleId="EndnoteAnchor">
    <w:name w:val="Endnote Anchor"/>
    <w:rPr>
      <w:vertAlign w:val="superscript"/>
    </w:rPr>
  </w:style>
  <w:style w:type="character" w:styleId="EndnoteCharacters">
    <w:name w:val="Endnote Characters"/>
    <w:qFormat/>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 w:type="paragraph" w:styleId="Revision">
    <w:name w:val="Revision"/>
    <w:qFormat/>
    <w:pPr>
      <w:widowControl/>
      <w:suppressAutoHyphens w:val="true"/>
      <w:kinsoku w:val="true"/>
      <w:overflowPunct w:val="true"/>
      <w:autoSpaceDE w:val="true"/>
      <w:bidi w:val="0"/>
      <w:spacing w:lineRule="auto" w:line="240" w:before="0" w:after="0"/>
      <w:jc w:val="left"/>
    </w:pPr>
    <w:rPr>
      <w:rFonts w:ascii="Liberation Serif" w:hAnsi="Liberation Serif" w:eastAsia="0" w:cs="Lucida Sans"/>
      <w:color w:val="auto"/>
      <w:kern w:val="2"/>
      <w:sz w:val="24"/>
      <w:szCs w:val="24"/>
      <w:lang w:val="en-GB" w:eastAsia="zh-CN" w:bidi="hi-IN"/>
    </w:rPr>
  </w:style>
  <w:style w:type="paragraph" w:styleId="Annotationsubject">
    <w:name w:val="annotation subject"/>
    <w:qFormat/>
    <w:pPr>
      <w:widowControl/>
      <w:kinsoku w:val="true"/>
      <w:overflowPunct w:val="true"/>
      <w:autoSpaceDE w:val="true"/>
      <w:bidi w:val="0"/>
      <w:spacing w:lineRule="exact" w:line="240"/>
    </w:pPr>
    <w:rPr>
      <w:rFonts w:ascii="Liberation Serif" w:hAnsi="Liberation Serif" w:eastAsia="NSimSun" w:cs="Lucida Sans"/>
      <w:b/>
      <w:bCs/>
      <w:color w:val="auto"/>
      <w:kern w:val="2"/>
      <w:sz w:val="20"/>
      <w:szCs w:val="20"/>
      <w:lang w:val="en-GB" w:eastAsia="zh-CN" w:bidi="hi-IN"/>
    </w:rPr>
  </w:style>
  <w:style w:type="paragraph" w:styleId="Annotationtext">
    <w:name w:val="annotation text"/>
    <w:basedOn w:val="Normal"/>
    <w:qFormat/>
    <w:pPr>
      <w:spacing w:lineRule="exact" w:line="240"/>
    </w:pPr>
    <w:rPr>
      <w:sz w:val="20"/>
      <w:szCs w:val="20"/>
    </w:rPr>
  </w:style>
  <w:style w:type="paragraph" w:styleId="ListParagraph">
    <w:name w:val="List Paragraph"/>
    <w:basedOn w:val="Normal"/>
    <w:qFormat/>
    <w:pPr>
      <w:spacing w:before="0" w:after="0"/>
      <w:ind w:left="720" w:right="0" w:hanging="0"/>
      <w:contextualSpacing/>
    </w:pPr>
    <w:rPr/>
  </w:style>
  <w:style w:type="paragraph" w:styleId="Footnote">
    <w:name w:val="Footnote Text"/>
    <w:basedOn w:val="Normal"/>
    <w:pPr>
      <w:suppressLineNumbers/>
      <w:ind w:left="340" w:right="0" w:hanging="340"/>
    </w:pPr>
    <w:rPr>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845</TotalTime>
  <Application>LibreOffice/7.3.2.2$Windows_X86_64 LibreOffice_project/49f2b1bff42cfccbd8f788c8dc32c1c309559be0</Application>
  <AppVersion>15.0000</AppVersion>
  <Pages>3</Pages>
  <Words>1126</Words>
  <Characters>6503</Characters>
  <CharactersWithSpaces>7589</CharactersWithSpaces>
  <Paragraphs>43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en-GB</dc:language>
  <cp:lastModifiedBy/>
  <dcterms:modified xsi:type="dcterms:W3CDTF">2023-10-27T07:29:45Z</dcterms:modified>
  <cp:revision>83</cp:revision>
  <dc:subject/>
  <dc:title/>
</cp:coreProperties>
</file>